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NAGY</w:t>
            </w:r>
          </w:p>
          <w:p w:rsidR="00C275A3" w:rsidRDefault="00A96AEC" w:rsidP="00C275A3">
            <w:pPr>
              <w:pStyle w:val="Hallgatokepzes"/>
            </w:pPr>
            <w:r>
              <w:t>Commerce and Marketing</w:t>
            </w:r>
            <w:r>
              <w:br/>
            </w:r>
            <w:r w:rsidR="00E77B23">
              <w:t>BSc, 2.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Károly Mike</w:t>
            </w:r>
          </w:p>
          <w:p w:rsidR="00DB4822" w:rsidRDefault="00DB4822" w:rsidP="00E11062">
            <w:pPr>
              <w:pStyle w:val="Konzulensek"/>
            </w:pPr>
            <w:r w:rsidRPr="00DB4822">
              <w:t>assistant professor ,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Museum Management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discuss the evolution and functioning of the methods of museum management, concentrating to its implementation in Europe and Northern America in the last decades. The broader context of this process is determined by the changes of world museology from the 1970’ and 1980’s. The role of the museums in modern societies has been changed gradually. The influence of the sanctuarylike museums representing elite culture has been decreased and new type of museums has been established, which work like a laboratory. They prefer flexibility to stability and visitors-centred activities. The main economic factors behind this process are the changes of world economy which focus on creativity and the intention of this transformation is to make the museums more democratic and easily accessible institutions. The success and the outcome of these changes are still undetermined.</w:t>
      </w:r>
      <w:r>
        <w:rPr>
          <w:color w:val="000000"/>
          <w:sz w:val="24"/>
          <w:szCs w:val="24"/>
        </w:rPr>
        <w:br/>
        <w:t xml:space="preserve">The methods of scholarly discussions in the case of museology are in a more peripheral position, and the structures of museums are more conscious and scholarly oriented. The influence of modern business administration turned to be more important in the economic management of museums (e.g. marketing). As a consequence the museums are managed currently like modern economic enterprises, including their organisation, communication and expansion.</w:t>
      </w:r>
      <w:r>
        <w:rPr>
          <w:color w:val="000000"/>
          <w:sz w:val="24"/>
          <w:szCs w:val="24"/>
        </w:rPr>
        <w:br/>
        <w:t xml:space="preserve">In my paper I examine the causes and characteristics of these changes, with a special emphasise on the risks of this process. I present four case studies about the structure of the museums and their relations to their visitors. Three case studies enlighten the situation of institutions in Hungary. As a consequence one might raise the question whether to which extent differs the transformation of the semiperipheral Hungarian museum structure from the examples of Western Europe and Northern-America.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230892">
    <w:multiLevelType w:val="hybridMultilevel"/>
    <w:lvl w:ilvl="0" w:tplc="179409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230892">
    <w:abstractNumId w:val="372308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54887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