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CSORTOS ORSOLYA</w:t>
            </w:r>
          </w:p>
          <w:p w:rsidR="00C275A3" w:rsidRDefault="00A96AEC" w:rsidP="00C275A3">
            <w:pPr>
              <w:pStyle w:val="Hallgatokepzes"/>
            </w:pPr>
            <w:r>
              <w:t>Közgazdasági Elemző</w:t>
            </w:r>
            <w:r>
              <w:br/>
            </w:r>
            <w:r w:rsidR="00E77B23">
              <w:t>MSc, 2.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Baksa Dániel</w:t>
            </w:r>
          </w:p>
          <w:p w:rsidR="00DB4822" w:rsidRDefault="00DB4822" w:rsidP="00E11062">
            <w:pPr>
              <w:pStyle w:val="Konzulensek"/>
            </w:pPr>
            <w:r w:rsidRPr="00DB4822">
              <w:t>közgazdász,  Magyar Nemzeti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Pénzügyi válság... Olajár-emelkedés... Kamatemelés?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témájának egy releváns gazdasági kérdést választottam, amely során arra kerestem a választ, hogy a világgazdasági recesszió után, egy újabb olajár-emelkedési időszak derekán a monetáris politika hogyan tudná megvalósítani elsődleges célját, azaz az árstabilitás fenntartását, és emellett hogyan tudná minél hatékonyabban támogatni a gazdasági fellendülést.</w:t>
      </w:r>
    </w:p>
    <w:p>
      <w:pPr>
        <w:pBdr/>
        <w:spacing w:before="240" w:after="240" w:line="240" w:lineRule="auto"/>
        <w:ind w:left="0" w:right="0"/>
        <w:jc w:val="left"/>
      </w:pPr>
      <w:r>
        <w:rPr>
          <w:color w:val="000000"/>
          <w:sz w:val="24"/>
          <w:szCs w:val="24"/>
        </w:rPr>
        <w:t xml:space="preserve">A dolgozat első fejezete igyekszik rávilágítani a téma relevanciájára, bemutatja, hogy az Európai Unióban miképp alakultak a főbb makrogazdasági változók, az energiaárak és a monetáris politika az elmúlt 10 évben. Majd azzal a céllal, hogy megválaszoljam az előbbi kérdést, építettem egy DSGE-modellt, és a második fejezetben bemutatom e modell magatartási egyenleteit, levezetését, egyensúlyi egyenleteit és az állandósult állapot kalibrálását. A következő fejezetben, a sztochasztikus sokkszimuláció során tanulmányozom, hogy miként hat egy beruházási sokk, egy importár sokk és egy monetáris politikai sokk egy stilizált gazdaságra.</w:t>
      </w:r>
    </w:p>
    <w:p>
      <w:pPr>
        <w:pBdr/>
        <w:spacing w:before="240" w:after="240" w:line="240" w:lineRule="auto"/>
        <w:ind w:left="0" w:right="0"/>
        <w:jc w:val="left"/>
      </w:pPr>
      <w:r>
        <w:rPr>
          <w:color w:val="000000"/>
          <w:sz w:val="24"/>
          <w:szCs w:val="24"/>
        </w:rPr>
        <w:t xml:space="preserve">A kérdés pontos megválaszolásának érdekében a negyedik fejezetben bemutatok egy olyan – a 2008-as gazdasági eseményeket illusztráló – válságból kilábaló stilizált gazdaságot, amelyet egy napjainkban is tapasztalható 10-20 százalék körüli olajár sokk ér. Dolgozatom zárásaképp pedig megvizsgálom, hogy ezen körülmények között milyen monetáris politika (modell által javasolt szigorítás, azon túli kamatemelés, vagy kamattartás) tudná hatékonyan támogatni az árstabilitás fenntartását és a gazdaság újbóli növekedését.</w:t>
      </w:r>
    </w:p>
    <w:p>
      <w:pPr>
        <w:pBdr/>
        <w:spacing w:before="240" w:after="240" w:line="240" w:lineRule="auto"/>
        <w:ind w:left="0" w:right="0"/>
        <w:jc w:val="left"/>
      </w:pPr>
      <w:r>
        <w:rPr>
          <w:color w:val="000000"/>
          <w:sz w:val="24"/>
          <w:szCs w:val="24"/>
        </w:rPr>
        <w:t xml:space="preserve">Eredményként azt kaptam, hogy a szigorúbb monetáris politika csupán rövid távon lassítaná a főbb makrogazdasági változók növekedését, hosszabb távon viszont azok dinamikusabb gyarapodását eredményezné, amellett, hogy a monetáris politika teljesítené elsődleges célját, azaz az árstabilitás megteremtését – így modellem alapján egyértelműen ez a beavatkozás bizonyulna a legkedvezőbbnek az európai gazdaság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74925">
    <w:multiLevelType w:val="hybridMultilevel"/>
    <w:lvl w:ilvl="0" w:tplc="52949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74925">
    <w:abstractNumId w:val="81574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061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