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CSORTOS</w:t>
            </w:r>
          </w:p>
          <w:p w:rsidR="00C275A3" w:rsidRDefault="00A96AEC" w:rsidP="00C275A3">
            <w:pPr>
              <w:pStyle w:val="Hallgatokepzes"/>
            </w:pPr>
            <w:r>
              <w:t>Economic Analyst</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Baksa</w:t>
            </w:r>
          </w:p>
          <w:p w:rsidR="00DB4822" w:rsidRDefault="00DB4822" w:rsidP="00E11062">
            <w:pPr>
              <w:pStyle w:val="Konzulensek"/>
            </w:pPr>
            <w:r w:rsidRPr="00DB4822">
              <w:t>economist,  National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Crisis... Rising Oil Prices... Interest Rate Hike?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investigate a current economic question, namely how monetary policy after the global financial crisis, in at time of rising oil prices, would be able to implement its primary objective, maintaining price stability. Moreover, the paper also addresses how economic recovery could be best promoted.</w:t>
      </w:r>
    </w:p>
    <w:p>
      <w:pPr>
        <w:pBdr/>
        <w:spacing w:before="240" w:after="240" w:line="240" w:lineRule="auto"/>
        <w:ind w:left="0" w:right="0"/>
        <w:jc w:val="left"/>
      </w:pPr>
      <w:r>
        <w:rPr>
          <w:color w:val="000000"/>
          <w:sz w:val="24"/>
          <w:szCs w:val="24"/>
        </w:rPr>
        <w:t xml:space="preserve">The first section of my paper emphasizes the relevance of the issue and presents the course of the main macroeconomic variables, the energy prices and the monetary policy in the European Union in the last 10 years. After this, with the aim of answering the previous question, I design a DSGE model and in the second section, I demonstrate the behaviour equations, the solving, the equilibrium and log-linear equations of this model, plus the calibration of its steady state. In the next section, in the course of stochastic shock simulation, I analyze the consequences of an investment, an import price and a monetary policy shock to a stylized economy.</w:t>
      </w:r>
    </w:p>
    <w:p>
      <w:pPr>
        <w:pBdr/>
        <w:spacing w:before="240" w:after="240" w:line="240" w:lineRule="auto"/>
        <w:ind w:left="0" w:right="0"/>
        <w:jc w:val="left"/>
      </w:pPr>
      <w:r>
        <w:rPr>
          <w:color w:val="000000"/>
          <w:sz w:val="24"/>
          <w:szCs w:val="24"/>
        </w:rPr>
        <w:t xml:space="preserve">In the wake of answering the above question in the fourth section I present a stylized economy which illustrates the economic consequences of the financial crisis of 2008 and passes through a 10-20 percentile oil price increase (which is experienced in our days, too). I finally investigate how under these circumstances, monetary policy would be able to maintain price stability and to promote the renewed economic recovery the most efficiently (tightening in accordance with my model, increasing the interest rate by more than my model supposed or keeping the interest rate unchanged).</w:t>
      </w:r>
    </w:p>
    <w:p>
      <w:pPr>
        <w:pBdr/>
        <w:spacing w:before="240" w:after="240" w:line="240" w:lineRule="auto"/>
        <w:ind w:left="0" w:right="0"/>
        <w:jc w:val="left"/>
      </w:pPr>
      <w:r>
        <w:rPr>
          <w:color w:val="000000"/>
          <w:sz w:val="24"/>
          <w:szCs w:val="24"/>
        </w:rPr>
        <w:t xml:space="preserve">The conclusion of my paper is that tighter monetary policy would decelerate the main macroeconomic variables’ growth rate only in the short run, but in the long run it would contribute to their more dynamic growth. Besides this, this monetary policy would achieve the primary objective, maintaining the price stability, thus, according to my model, this provision would be the most benign for the European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96832">
    <w:multiLevelType w:val="hybridMultilevel"/>
    <w:lvl w:ilvl="0" w:tplc="48614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96832">
    <w:abstractNumId w:val="32796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770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