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SONKOLY TÍMEA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SZAKÁLY ZSUZSA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ZÁDORI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ŐZE PÉTER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Trócsányi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Sulyok Márton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Jakó Nóra Ágnes</w:t>
            </w:r>
          </w:p>
          <w:p w:rsidR="00DB4822" w:rsidRDefault="00DB4822" w:rsidP="00E11062">
            <w:pPr>
              <w:pStyle w:val="Konzulensek"/>
            </w:pPr>
            <w:r w:rsidRPr="00DB4822">
              <w:t>gyakornok,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határon túli állampolgárok választójoga, különös tekintettel a Magyarország határain kívül élő magyar állampolgárok választójogára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választójogi törvény 2011-es módosítása indította el azt a folyamatot, melynek hatására a sarkalatos törvények megalkotási folyamatának során az egyik legvitatottabb kérdéssé vált a határon túl élő magyar állampolgárok szavazati joga biztosításának mikéntje.</w:t>
      </w:r>
      <w:r>
        <w:rPr>
          <w:color w:val="000000"/>
          <w:sz w:val="24"/>
          <w:szCs w:val="24"/>
        </w:rPr>
        <w:br/>
        <w:t xml:space="preserve">Munkánkban kiindulópontként megvizsgáltuk a terület elméleti alapjait, ezen belül is a választás napján külföldön való tartózkodás lehetséges okait és ezek relevanciáját, a szuverenitást, a nemzet-fogalom értelmezési lehetőségeit, majd a hatályos jogszabályi hátteret. Ezt követően a határon túli magyar állampolgárok választójogával foglalkoztunk. A téma vizsgálata során nem tekinthetünk el annak a kérdésnek az elemzésétől, hogy az államnak kötelessége-e biztosítani a választójogot a határon túli állampolgárainak, s köthető-e feltételekhez?</w:t>
      </w:r>
      <w:r>
        <w:rPr>
          <w:color w:val="000000"/>
          <w:sz w:val="24"/>
          <w:szCs w:val="24"/>
        </w:rPr>
        <w:br/>
        <w:t xml:space="preserve">Ezután a különböző nemzetek által alkalmazott modelleket elemeztük, különös figyelemmel a hazai rendszerbe is illeszthető lehetőségekre, melyek szerepe elengedhetetlen a legmegfelelőbb módszer kidolgozásában, hiszen számos ország teszi lehetővé sikerrel a határain kívül élő állampolgárainak a szavazati jog gyakorlásának lehetőségét.</w:t>
      </w:r>
      <w:r>
        <w:rPr>
          <w:color w:val="000000"/>
          <w:sz w:val="24"/>
          <w:szCs w:val="24"/>
        </w:rPr>
        <w:br/>
        <w:t xml:space="preserve">De lege ferenda javaslatunk kiterjed mind az anyagi jogi, mind az eljárásjogi területek rendezésére a választási rendszer legneuralgikusabb pontjaira vonatkoztatva. Dolgozatunk elkészítése során a jelenleg hatályos 1997. évi C. törvényt tekintettük kiindulópontnak, mivel az új választási eljárást szabályozó törvénynek még nem nyilvános a szabályozási koncepciója.</w:t>
      </w:r>
      <w:r>
        <w:rPr>
          <w:color w:val="000000"/>
          <w:sz w:val="24"/>
          <w:szCs w:val="24"/>
        </w:rPr>
        <w:br/>
        <w:t xml:space="preserve">Javaslatunkkal igyekeztünk egy elfogadható megoldási javaslatot kidolgozni eme szenzitív terület kapcsolódó vonatkozásainak rögzítésére, melyek segítségével a határon kívül élő állampolgárok gyakorolhatják választójogukat, figyelembe véve a Magyarország határain belül és kívül élő állampolgár helyzete közötti valós különbségeket.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19387">
    <w:multiLevelType w:val="hybridMultilevel"/>
    <w:lvl w:ilvl="0" w:tplc="40633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19387">
    <w:abstractNumId w:val="110193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8962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