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SONKOLY</w:t>
            </w:r>
          </w:p>
          <w:p w:rsidR="00C275A3" w:rsidRDefault="00A96AEC" w:rsidP="00C275A3">
            <w:pPr>
              <w:pStyle w:val="Hallgatokepzes"/>
            </w:pPr>
            <w:r>
              <w:t>lawyer</w:t>
            </w:r>
            <w:r>
              <w:br/>
            </w:r>
            <w:r w:rsidR="00E77B23">
              <w:t>Unified, 10.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ZSUZSA SZAKÁLY</w:t>
            </w:r>
          </w:p>
          <w:p w:rsidR="00DB4822" w:rsidRDefault="00C275A3" w:rsidP="004D7940">
            <w:pPr>
              <w:pStyle w:val="Hallgatokepzes"/>
            </w:pPr>
            <w:r>
              <w:t>lawyer</w:t>
            </w:r>
            <w:r w:rsidR="00A96AEC">
              <w:br/>
              <w:t>Unified, 10.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Law</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ZÁDORI</w:t>
            </w:r>
          </w:p>
          <w:p w:rsidR="00C275A3" w:rsidRDefault="00A96AEC" w:rsidP="00C275A3">
            <w:pPr>
              <w:pStyle w:val="Hallgatokepzes"/>
            </w:pPr>
            <w:r>
              <w:t>lawyer</w:t>
            </w:r>
            <w:r>
              <w:br/>
            </w:r>
            <w:r w:rsidR="00E77B23">
              <w:t>Unified, 6.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PÉTER ŐZE</w:t>
            </w:r>
          </w:p>
          <w:p w:rsidR="00DB4822" w:rsidRDefault="00C275A3" w:rsidP="004D7940">
            <w:pPr>
              <w:pStyle w:val="Hallgatokepzes"/>
            </w:pPr>
            <w:r>
              <w:t>lawyer</w:t>
            </w:r>
            <w:r w:rsidR="00A96AEC">
              <w:br/>
              <w:t>Unified, 6.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Law</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László Trócsányi Dr.</w:t>
            </w:r>
          </w:p>
          <w:p w:rsidR="00DB4822" w:rsidRDefault="00DB4822" w:rsidP="00E11062">
            <w:pPr>
              <w:pStyle w:val="Konzulensek"/>
            </w:pPr>
            <w:r w:rsidRPr="00DB4822">
              <w:t>professor, SZTE ÁJK</w:t>
            </w:r>
          </w:p>
        </w:tc>
      </w:tr>
      <w:tr w:rsidR="00DB4822" w:rsidTr="00DB4822">
        <w:tc>
          <w:tcPr>
            <w:tcW w:w="9854" w:type="dxa"/>
          </w:tcPr>
          <w:p w:rsidR="00DB4822" w:rsidRPr="00DB4822" w:rsidRDefault="00DB4822" w:rsidP="004D7940">
            <w:pPr>
              <w:pStyle w:val="Konzulensek"/>
            </w:pPr>
            <w:r w:rsidRPr="00DB4822">
              <w:t>Márton Sulyok Dr.</w:t>
            </w:r>
          </w:p>
          <w:p w:rsidR="00DB4822" w:rsidRDefault="00DB4822" w:rsidP="00E11062">
            <w:pPr>
              <w:pStyle w:val="Konzulensek"/>
            </w:pPr>
            <w:r w:rsidRPr="00DB4822">
              <w:t>professor's assistant, SZTE ÁJK</w:t>
            </w:r>
          </w:p>
        </w:tc>
      </w:tr>
      <w:tr w:rsidR="00DB4822" w:rsidTr="00DB4822">
        <w:tc>
          <w:tcPr>
            <w:tcW w:w="9854" w:type="dxa"/>
          </w:tcPr>
          <w:p w:rsidR="00DB4822" w:rsidRPr="00DB4822" w:rsidRDefault="00DB4822" w:rsidP="004D7940">
            <w:pPr>
              <w:pStyle w:val="Konzulensek"/>
            </w:pPr>
            <w:r w:rsidRPr="00DB4822">
              <w:t>Nóra Ágnes Jakó Dr.</w:t>
            </w:r>
          </w:p>
          <w:p w:rsidR="00DB4822" w:rsidRDefault="00DB4822" w:rsidP="00E11062">
            <w:pPr>
              <w:pStyle w:val="Konzulensek"/>
            </w:pPr>
            <w:r w:rsidRPr="00DB4822">
              <w:t>graduate teaching assistant,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right to vote of expatriate citizens, with particular focus on that of Hungarian citizens living outside the borders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2011 modification of the electoral law contributed to the the issue of how to assure the right to vote for Hungarian citizens living outside the borders to become one of the most debated topics as part of the adoption of cardinal laws.</w:t>
      </w:r>
      <w:r>
        <w:rPr>
          <w:color w:val="000000"/>
          <w:sz w:val="24"/>
          <w:szCs w:val="24"/>
        </w:rPr>
        <w:br/>
        <w:t xml:space="preserve">In our paper, as a starting point, we examined the theoretical foundations of the topic, focusing on the possible reasons of staying abroad on the day of the election and the relevance thereof; on sovereignty and the possible interpretations of the nation-concept, moving on to the legal background currently in force. Subsequently, we analyzed the right to vote of Hungarian citizens abroad. The issue whether the state is obliged to ensure the right to vote for its citizens, and whether such right shall be contingent upon certain conditions, is one that should not be overlooked in examining this domain.</w:t>
      </w:r>
      <w:r>
        <w:rPr>
          <w:color w:val="000000"/>
          <w:sz w:val="24"/>
          <w:szCs w:val="24"/>
        </w:rPr>
        <w:br/>
        <w:t xml:space="preserve">In the following, we assessed the models applied by different states, with particular attention to the possibilities that might be adapted to our domestic system, the role of which is indispensable in constructing the most adequate method given that numerous countries successfully make possible the exercise of the right to vote for their respective citizens living outside their borders.</w:t>
      </w:r>
      <w:r>
        <w:rPr>
          <w:color w:val="000000"/>
          <w:sz w:val="24"/>
          <w:szCs w:val="24"/>
        </w:rPr>
        <w:br/>
        <w:t xml:space="preserve">Our de lege ferenda recommendations extend to certain areas of both substantive and procedural law in relation to the most neuralgic points of the election system. In preparing our research, we considered the Act C of 1997 currently in effect to be our starting point since the concept of the new law on the election process has not yet been made public.</w:t>
      </w:r>
      <w:r>
        <w:rPr>
          <w:color w:val="000000"/>
          <w:sz w:val="24"/>
          <w:szCs w:val="24"/>
        </w:rPr>
        <w:br/>
        <w:t xml:space="preserve">We provided our efforts to offer an acceptable solution in our recommendations to regulate the relevant aspects of this sensitive area, through which the citizens living outside the borders may exercise their right to vote, taking into consideration the difference between the status of Hungarian citizens living inside and outside the orders of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29871">
    <w:multiLevelType w:val="hybridMultilevel"/>
    <w:lvl w:ilvl="0" w:tplc="90662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29871">
    <w:abstractNumId w:val="394298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751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