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FERI DIANA</w:t>
            </w:r>
          </w:p>
          <w:p w:rsidR="00C275A3" w:rsidRDefault="00A96AEC" w:rsidP="00C275A3">
            <w:pPr>
              <w:pStyle w:val="Hallgatokepzes"/>
            </w:pPr>
            <w:r>
              <w:t>Környezettudomány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KOVÁCS RAJMUND</w:t>
            </w:r>
          </w:p>
          <w:p w:rsidR="00DB4822" w:rsidRDefault="00C275A3" w:rsidP="004D7940">
            <w:pPr>
              <w:pStyle w:val="Hallgatokepzes"/>
            </w:pPr>
            <w:r>
              <w:t>Környezettan BSc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és Technológiai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Gyulai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Cladocera taxonok összehasonlító vizsgálata egy rakamazi holtmeder vizében és üledékében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Hazai sekély állóvizeinkben faj- és egyedszám tekintetében az ágascsápú rákok (Cladocera) jelentős csoportot alkotnak, amely viszonylag nagy fajszámmal fordul elő (98 hazai faj). Ezek a szervezetek Nemzeti Biodiverzitás-monitorozó Rendszerben is szerepelnek. A Cladocera fajok – planktonikus és bentikus szervezetek is – recens populációinak vizsgálatával tehát feltárhatjuk a jelenlegi biodiverzitást a taxonómiai és genetikai sokféleség szintjén, és ugyanilyen jellegű kutatást végezhetünk korábbi, évtizedekkel előbb élt populációkra is.</w:t>
      </w:r>
      <w:r>
        <w:rPr>
          <w:color w:val="000000"/>
          <w:sz w:val="24"/>
          <w:szCs w:val="24"/>
        </w:rPr>
        <w:br/>
        <w:t xml:space="preserve">Munkám során azon kérdésekre kerestem a választ, hogy vajon a recens üledékek milyen mennyiségben tartalmaznak Cladocerákat, illetve, hogy az üledékben minőségileg és mennyiségileg is nagyobb számban fordulnak-e elő a Cladocera taxonok, mint a vízben. Dolgozatomban a Kis-Zátony-tó nevű holtágat vizsgáltam Tokaj-Rakamaz területén. A mintavételezés 2011 augusztusában és szeptemberében történt meg. Azért választottuk ezt a holtágat, mert viszonylag kis területe ellenére jelentős élőhelybeli különbségek figyelhetőek meg benne. Hat különböző helyről vettük a mintákat, ezek a területek eltérő makrovegetációval rendelkeznek, így ez is befolyásolhatta az eredményeimet. Minden mintavételi helyszínen szűrtünk vizet és vettünk felszíni lágy üledékmintát, mértük a mélységet és az átlátszóságokat. Az eredmények kiértékelésénél megfigyelhető, hogy jelentős különbségek vannak az üledékminták és vízminták eredményei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119532">
    <w:multiLevelType w:val="hybridMultilevel"/>
    <w:lvl w:ilvl="0" w:tplc="936288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119532">
    <w:abstractNumId w:val="591195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44919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