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SIMON</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Béla Szilágyi</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Some questions about the oligopolistic markets. Coordinated effects, tacit collusion, joint dominance</w:t>
      </w:r>
    </w:p>
    <w:p w:rsidR="00D71DF5" w:rsidRDefault="00D71DF5" w:rsidP="00AD2602">
      <w:pPr>
        <w:jc w:val="both"/>
      </w:pPr>
    </w:p>
    <w:p>
      <w:pPr>
        <w:pBdr/>
        <w:spacing w:before="240" w:after="240" w:line="240" w:lineRule="auto"/>
        <w:ind w:left="0" w:right="0"/>
        <w:jc w:val="left"/>
      </w:pPr>
      <w:r>
        <w:rPr>
          <w:color w:val="000000"/>
          <w:sz w:val="24"/>
          <w:szCs w:val="24"/>
        </w:rPr>
        <w:t xml:space="preserve">Is it really possible to agree about an issue without any formerly stated details by the participants? Is it acceptable to prevent a status, which probably makes it easier and simpler to accomplish a tacit collusion? These questions could be analized by general and legal methods also. The above mentioned tacit collusion could be defined as a situation which generates the possibility of an agreement between two entities to achieve a goal that is beneficial for both, without any direct or explicit coordination. The basic principle of this issue is clearly determined by the market rationality. It definitely looks like a win – win situation, therefore a market actor ( for instance a corporation) would not find any problems about the question. But competition policy makers and authorites have two main theoritical values to protect the consumer welfare and the effective competition, hence the assesment is more complex than at first sight. It is easy to imagine, that there are a lot of possibilities when authorities are under pressure to intervene and this could cause really huge problems, because a wrongly decided intervention would disturb the market and efficiency gains. The current issue of the dissertation is to assess the correlation between the legal and the economic aspects by using academical and practical methods and to be strongly focused on the european and hungarian jurisdiction. Therefore the study is strictly case oriented and supported by the economic way of thinking. At last but not at least the dissertation notes that the competition policy has two sides and the legal side must be as respected as the economic side is, because the tunnel vision attitude never will be an effective sollution.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15388">
    <w:multiLevelType w:val="hybridMultilevel"/>
    <w:lvl w:ilvl="0" w:tplc="32187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15388">
    <w:abstractNumId w:val="14115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777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