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ENIKŐ</w:t>
            </w:r>
          </w:p>
          <w:p w:rsidR="00C275A3" w:rsidRDefault="00A96AEC" w:rsidP="00C275A3">
            <w:pPr>
              <w:pStyle w:val="Hallgatokepzes"/>
            </w:pPr>
            <w:r>
              <w:t>Jogász</w:t>
            </w:r>
            <w:r>
              <w:br/>
            </w:r>
            <w:r w:rsidR="00E77B23">
              <w:t>Osztatlan, 10.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Békés Balázs</w:t>
            </w:r>
          </w:p>
          <w:p w:rsidR="00DB4822" w:rsidRDefault="00DB4822" w:rsidP="00E11062">
            <w:pPr>
              <w:pStyle w:val="Konzulensek"/>
            </w:pPr>
            <w:r w:rsidRPr="00DB4822">
              <w:t>megbízott oktató,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Nemzetközi adóügyekben történő információcsere</w:t>
      </w:r>
    </w:p>
    <w:p w:rsidR="00D71DF5" w:rsidRDefault="00D71DF5" w:rsidP="00AD2602">
      <w:pPr>
        <w:jc w:val="both"/>
      </w:pPr>
    </w:p>
    <w:p>
      <w:pPr>
        <w:pBdr/>
        <w:spacing w:before="240" w:after="240" w:line="240" w:lineRule="auto"/>
        <w:ind w:left="0" w:right="0"/>
        <w:jc w:val="left"/>
      </w:pPr>
      <w:r>
        <w:rPr>
          <w:color w:val="000000"/>
          <w:sz w:val="24"/>
          <w:szCs w:val="24"/>
        </w:rPr>
        <w:t xml:space="preserve">Turks és Caicos. Avagy ami az egzotikus koktélnak hangzó szigeteken történik, az ott is marad? A nemzetközi színtéren óriási a harc az adóalanyokért. A legátláthatatlanabb miniállamoktól kezdve a legeldugottabb szigetcsoportokig mindenki küzd a globalizáció generálta adóversenyben az információk megtartásáért vagy éppenséggel a banktitok intézményének leépítésért. Az utóbbi néhány évben, az adóbotrányba keveredett svájci óriásbankok óta ez a küzdelem kiéleződött és elemi erővel irányította rá az államok, az EU és a nemzetközi szervezetek figyelmét az információ hatalmára. A határokon átnyúló adócsalás megakadályozásának és a tisztességes adópolitika megvalósításának érdekében az államok regionális és globális szinten együttműködnek. Ennek egyik legrenitensebb eszköze a teljes és hatékony információcsere az adóhatóságok között. A dolgozat három szinten mutatja be az információcsere megvalósulását a közvetett és a közvetlen adókat illetően; átfogó képet adva ezzel a pénzügyi szolgáltatásaikkal az élen járó adóparadicsomokon át egészen hazánkig. Az első szint a közösségi szabályozás, melynek keretében az Európai Unió rendeletekkel és irányelvekkel szabályoz. A következő szinten az OECD munkájának eredményeként megalkotott bilaterális és multilaterális Modellegyezmények kerülnek bemutatásra, amelyet az államok többsége implementált egyezménykötési gyakorlatába. Az utolsó a hazai szint, ahol mindkettő bizonyos formákban leképeződésre került. Az információ-szolgáltatásnak három formája van: kérésre, automatikusan és spontán módon, ami minden szinten érvényesül. Egységesnek mondhatók az egyes szintek a titoktartás, a korlátozás és az információk átadásának megtagadásában is. A széleskörű adóoptimalizálás új intézmények megjelenését követeli az információcsere intenzitásának érdekében. Ezzel pedig már adóalanyok egy egész csoportjára vonatkozó információk kész csomagja válik hozzáférhetővé más államok adóhatóságai számára. A legújabb fejlemények szerint a költségvetési érdekek bizonyos államok esetében mégis előrébb tudnak kerülni az információéhségnél, és más taktikát választanak. Talán az adójog az utolsó eszköz az államok kezében, amellyel gazdasági szempontból versenyképességüket még befolyásolni tudják. De mint köztudott „az életben két dolog biztos az adó és a halál”.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30095">
    <w:multiLevelType w:val="hybridMultilevel"/>
    <w:lvl w:ilvl="0" w:tplc="26955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30095">
    <w:abstractNumId w:val="67830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761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