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LUKÁCS</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Békés</w:t>
            </w:r>
          </w:p>
          <w:p w:rsidR="00DB4822" w:rsidRDefault="00DB4822" w:rsidP="00E11062">
            <w:pPr>
              <w:pStyle w:val="Konzulensek"/>
            </w:pPr>
            <w:r w:rsidRPr="00DB4822">
              <w:t>visiting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Information Exchange on International Tax Matters</w:t>
      </w:r>
    </w:p>
    <w:p w:rsidR="00D71DF5" w:rsidRDefault="00D71DF5" w:rsidP="00AD2602">
      <w:pPr>
        <w:jc w:val="both"/>
      </w:pPr>
    </w:p>
    <w:p>
      <w:pPr>
        <w:pBdr/>
        <w:spacing w:before="240" w:after="240" w:line="240" w:lineRule="auto"/>
        <w:ind w:left="0" w:right="0"/>
        <w:jc w:val="left"/>
      </w:pPr>
      <w:r>
        <w:rPr>
          <w:color w:val="000000"/>
          <w:sz w:val="24"/>
          <w:szCs w:val="24"/>
        </w:rPr>
        <w:t xml:space="preserve">Turks and Caicos. Or everything that happens in an exotic cocktail sounding island stays there? In the international area there is a huge fight for taxpayers. In this tax competition generated by globalization from the most unnoticeable mini-states to the most hidden islands everyone is fighting for the retention of information or the downsizing of the institution of bank secrecy. In the last few years this fight, since the tax scandal of the giant Swiss banks, has been sharpened and focused the attention of the states, the EU and the international organizations on the power of infomation. The most renitent instrument of the cooperation between the tax authorities of the states is this information exchange. This thesis presents the three levels of infomation exchange regarding to the direct and indirect taxes, giving an overview of these from tax havens to our country. The first level is the EU rules and regulations especially directives. In the next level the OECD created two Model Conventions which have been implemented by most of the states. The last is the Hungarian level where both of these are reflected. There are three forms of information exchange: on request, automatically and spontaneously which prevails all the levels. The widespread tax optimalization requires new institutions in order of the intensity of information exchange. Perhaps tax law is the last device in the hands of states which their competitiveness can be influenced by economically. But it is well known that „two things are certain tax and death”.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23167">
    <w:multiLevelType w:val="hybridMultilevel"/>
    <w:lvl w:ilvl="0" w:tplc="65418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23167">
    <w:abstractNumId w:val="12823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95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