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BODNÁR KATALIN</w:t>
            </w:r>
          </w:p>
          <w:p w:rsidR="00C275A3" w:rsidRDefault="00A96AEC" w:rsidP="00C275A3">
            <w:pPr>
              <w:pStyle w:val="Hallgatokepzes"/>
            </w:pPr>
            <w:r>
              <w:t>Jogász</w:t>
            </w:r>
            <w:r>
              <w:br/>
            </w:r>
            <w:r w:rsidR="00E77B23">
              <w:t>Osztatlan, 10. félév</w:t>
            </w:r>
          </w:p>
          <w:p w:rsidR="00C265CE" w:rsidRPr="009E5FF1" w:rsidRDefault="00E77B23" w:rsidP="00C275A3">
            <w:pPr>
              <w:pStyle w:val="Hallgatokepzes"/>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Szabó Sarolta</w:t>
            </w:r>
          </w:p>
          <w:p w:rsidR="00DB4822" w:rsidRDefault="00DB4822" w:rsidP="00E11062">
            <w:pPr>
              <w:pStyle w:val="Konzulensek"/>
            </w:pPr>
            <w:r w:rsidRPr="00DB4822">
              <w:t>egyetemi adjunktus,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Szavak határok nélkül? A személyhez fűződő jogok megsértésének nemzetközi magánjogi problémái, különös tekintettel az alkalmazandó jogra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a tágabb értelemben vett nemzetközi magánjog felől vizsgálja és világítja meg a személyhez fűződő jogok, ezen belül a jó hírnév és a magánélethez való jog, valamint a véleménynyilvánítás és a sajtószabadság közötti éles feszültséget, az abból fakadó szabályozásbeli nehézségeket.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munka elsőként a személyhez fűződő jogok megsértéséből eredő jogviták joghatósági kérdésének európai uniós szabályozásával foglalkozik, és az ennek alapján kialakult bírósági joggyakorlatot mutatja be. Amint az a dolgozatból is kiderül, a joghatóság szabályai és annak uniós szintű esetjoga, még ha nehézségekkel megtűzdelve is, de már egy kiforrott helyzetet mutatnak. Az első rész végén a jogirodalmi nézetek és a legújabb európai uniós szintű jogalkotási kísérletek ismertetésén túl megfogalmazom saját, jövőbeli szabályozásra vonatkozó javaslatomat.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pályamunka legterjedelmesebb része a határon átnyúló jogsértésekre alkalmazandó jog problémakörét feszegeti. Itt egy olyan kérdéssel foglalkozom, amely az európai uniós szabályozás hatályán kívül esik, vagyis jelenleg még nem megoldott, ami azt eredményezi, hogy az összes tagállam a saját kollíziós jogát alkalmazza a felmerült jogviták megoldására. A munka komparatív módszerrel tárja fel az Unió 27 tagállamában meglévő szabályozásbeli különbségeket és hasonlóságokat, ezután annak hátterét vizsgálja, hogy miért nem került sor európai uniós szintű szabályozásra e téren. Majd az uralkodó jogirodalmi álláspontok mellet, azoktól elkülönülten megfogalmazom saját véleményemet, egy az eddigi felvetésektől eltérő szabályozási koncepció megalkotásával, amelynek alapjául a román nemzetközi magánjogi szabályozás szolgált.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dolgozat utolsó része a rágalmazási esetekben felmerülő forum shopping, azaz az ún. rágalmazás turizmus jelenségét elemzi, amely főként az Atlanti-óceán által elválasztott két common law ország, az Egyesült Királyság és az Amerikai Egyesült Államok joggyakorlatában jelent gondokat, ami a két ország eltérő – a jó hírnév és a szólásszabadság védelmét érintő – anyagi jogi szabályozásából fakad. Az ezen problémával foglalkozó jogirodalmi álláspontok bemutatásával, az újabb jogalkotási kísérletek összefoglalásával és saját véleményem kifejtésével dolgozatomban megpróbáltam minél átfogóbban elemezni a fenti problémakört, mindemellett ugyanakkor megjegyezve, hogy valószínű, hogy nincs és nem is lehet tökéletes megoldás. Ezért inkább a jogalkotónak arra kell törekednie, hogy a legkevésbé igazságtalan megoldást találja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77221">
    <w:multiLevelType w:val="hybridMultilevel"/>
    <w:lvl w:ilvl="0" w:tplc="98006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77221">
    <w:abstractNumId w:val="726772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751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