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BRAUSWETTER</w:t>
            </w:r>
          </w:p>
          <w:p w:rsidR="00C275A3" w:rsidRDefault="00A96AEC" w:rsidP="00C275A3">
            <w:pPr>
              <w:pStyle w:val="Hallgatokepzes"/>
            </w:pPr>
            <w:r>
              <w:t>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KORNÉL PÁL DÁNOS</w:t>
            </w:r>
          </w:p>
          <w:p w:rsidR="00DB4822" w:rsidRDefault="00C275A3" w:rsidP="004D7940">
            <w:pPr>
              <w:pStyle w:val="Hallgatokepzes"/>
            </w:pPr>
            <w:r>
              <w:t>medicine</w:t>
            </w:r>
            <w:r w:rsidR="00A96AEC">
              <w:br/>
              <w:t>Unified, 12.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Tamás M.D. Ph.D.</w:t>
            </w:r>
          </w:p>
          <w:p w:rsidR="00DB4822" w:rsidRDefault="00DB4822" w:rsidP="00E11062">
            <w:pPr>
              <w:pStyle w:val="Konzulensek"/>
            </w:pPr>
            <w:r w:rsidRPr="00DB4822">
              <w:t>Head of department, SE ÁOK</w:t>
            </w:r>
          </w:p>
        </w:tc>
      </w:tr>
      <w:tr w:rsidR="00DB4822" w:rsidTr="00DB4822">
        <w:tc>
          <w:tcPr>
            <w:tcW w:w="9854" w:type="dxa"/>
          </w:tcPr>
          <w:p w:rsidR="00DB4822" w:rsidRPr="00DB4822" w:rsidRDefault="00DB4822" w:rsidP="004D7940">
            <w:pPr>
              <w:pStyle w:val="Konzulensek"/>
            </w:pPr>
            <w:r w:rsidRPr="00DB4822">
              <w:t>Prof. Gábor Répássy</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Biomarker expressions of head and neck carcinomas arising at different anatomical localizations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objective of our study was to evaluate and to compare the biomarker expressions of head and neck squamous cell carcinomas (HNSCC) arising from different anatomical sites.</w:t>
      </w:r>
    </w:p>
    <w:p>
      <w:pPr>
        <w:widowControl w:val="on"/>
        <w:pBdr/>
        <w:spacing w:before="240" w:after="240" w:line="240" w:lineRule="auto"/>
        <w:ind w:left="0" w:right="0"/>
        <w:jc w:val="left"/>
      </w:pPr>
      <w:r>
        <w:rPr>
          <w:color w:val="000000"/>
          <w:sz w:val="24"/>
          <w:szCs w:val="24"/>
        </w:rPr>
        <w:t xml:space="preserve">Methods: We enrolled 124 patients with HNSCC into our study. Among them, 7 had oral, 25 oropharyngeal, 13 hypopharyngeal and 79 had laryngeal cancer. We prepared Tissue Microarrays (TMA) made from the patients' tissue samples and used immunohistochemical staining for the detection of three conventional (Ki67, p53, EGFR) biomarkers and two relatively new (Collagen XVII/BP180, p16ink4) marker. The TMAs were digitalized (Panoramic Scan – 3DHISTECH), and the histological evaluation was performed on computers using a special software. We considered the expressions positive if more than 25% of the tumor cells were stained with the used biomarker. For statistical analysis, we performed Pearson's Chi-square tests.</w:t>
      </w:r>
    </w:p>
    <w:p>
      <w:pPr>
        <w:widowControl w:val="on"/>
        <w:pBdr/>
        <w:spacing w:before="240" w:after="240" w:line="240" w:lineRule="auto"/>
        <w:ind w:left="0" w:right="0"/>
        <w:jc w:val="left"/>
      </w:pPr>
      <w:r>
        <w:rPr>
          <w:color w:val="000000"/>
          <w:sz w:val="24"/>
          <w:szCs w:val="24"/>
        </w:rPr>
        <w:t xml:space="preserve">Results: The p16ink4 and Ki67 expression rates of the tumors in the supraglottic region were sigificantly higher than those of the tumors in other laryngeal and hypopharyngeal regions. Though, the Ki67 expression rates of the tonsillar tumors (palatine and lingual tonsil) were significantly higher than those of the oral and other oropharyngeal tumors. The other biomarkers were also detectable in the majority of the tumors, but significant differences were not revealed.</w:t>
      </w:r>
    </w:p>
    <w:p>
      <w:pPr>
        <w:widowControl w:val="on"/>
        <w:pBdr/>
        <w:spacing w:before="240" w:after="240" w:line="240" w:lineRule="auto"/>
        <w:ind w:left="0" w:right="0"/>
        <w:jc w:val="left"/>
      </w:pPr>
      <w:r>
        <w:rPr>
          <w:color w:val="000000"/>
          <w:sz w:val="24"/>
          <w:szCs w:val="24"/>
        </w:rPr>
        <w:t xml:space="preserve">Conclusion: According to our results, the tumors of the oropharynx cannot be regarded as one entity. Additionally, we can state that tonsillar and supraglottic tumors have similar biomarker-expression profiles. Possible explanations for this phenomenon might be the similar embryologic development of these structures and the HPV-induced carcinogenesis. As for the last year, we continued our study with an increased number of tissue samples, and we evaluated the correlations between the biomarker-expression and biological behavior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76247">
    <w:multiLevelType w:val="hybridMultilevel"/>
    <w:lvl w:ilvl="0" w:tplc="41400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76247">
    <w:abstractNumId w:val="270762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4425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