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DÁNIEL BERECZKI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11.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IMRE LŐRINC SZABÓ</w:t>
            </w:r>
          </w:p>
          <w:p w:rsidR="00DB4822" w:rsidRDefault="00C275A3" w:rsidP="004D7940">
            <w:pPr>
              <w:pStyle w:val="Hallgatokepzes"/>
            </w:pPr>
            <w:r>
              <w:t>general medicine</w:t>
            </w:r>
            <w:r w:rsidR="00A96AEC">
              <w:br/>
              <w:t>Unified, 11.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Debrecen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Medicine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Erika Herczeg-Lisztes</w:t>
            </w:r>
          </w:p>
          <w:p w:rsidR="00DB4822" w:rsidRDefault="00DB4822" w:rsidP="00E11062">
            <w:pPr>
              <w:pStyle w:val="Konzulensek"/>
            </w:pPr>
            <w:r w:rsidRPr="00DB4822">
              <w:t>Ph.D. student,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Tamás Bíró Ph.D., MD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Effects of cannabidiol on human hair follicle derived outer root sheath keratinocytes' biological processes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Korábbi vizsgálataink során igazoltuk, hogy egyes kannabinoid vegyületek (pl.</w:t>
      </w:r>
      <w:r>
        <w:rPr>
          <w:color w:val="000000"/>
          <w:sz w:val="24"/>
          <w:szCs w:val="24"/>
        </w:rPr>
        <w:br/>
        <w:t xml:space="preserve">anandamid [AEA]) humán szőrtüsző (HF) tenyészetekben a kannabinoid receptor-</w:t>
      </w:r>
      <w:r>
        <w:rPr>
          <w:color w:val="000000"/>
          <w:sz w:val="24"/>
          <w:szCs w:val="24"/>
        </w:rPr>
        <w:br/>
        <w:t xml:space="preserve">1 (CB1) aktiválásával gátolják a szőrszál növekedését, és a hajciklus során a</w:t>
      </w:r>
      <w:r>
        <w:rPr>
          <w:color w:val="000000"/>
          <w:sz w:val="24"/>
          <w:szCs w:val="24"/>
        </w:rPr>
        <w:br/>
        <w:t xml:space="preserve">regressziós, katagén fázis kialakulását indukálják. Kimutattuk azt is, hogy a HF-k</w:t>
      </w:r>
      <w:r>
        <w:rPr>
          <w:color w:val="000000"/>
          <w:sz w:val="24"/>
          <w:szCs w:val="24"/>
        </w:rPr>
        <w:br/>
        <w:t xml:space="preserve">képesek bizonyos endokannabinoidok (pl. AEA) termelésére, így feltételezhető,</w:t>
      </w:r>
      <w:r>
        <w:rPr>
          <w:color w:val="000000"/>
          <w:sz w:val="24"/>
          <w:szCs w:val="24"/>
        </w:rPr>
        <w:br/>
        <w:t xml:space="preserve">hogy az endokannabinoid rendszer működése állandó „pro-katagén” tónust jelent a</w:t>
      </w:r>
      <w:r>
        <w:rPr>
          <w:color w:val="000000"/>
          <w:sz w:val="24"/>
          <w:szCs w:val="24"/>
        </w:rPr>
        <w:br/>
        <w:t xml:space="preserve">HF-kben.</w:t>
      </w:r>
      <w:r>
        <w:rPr>
          <w:color w:val="000000"/>
          <w:sz w:val="24"/>
          <w:szCs w:val="24"/>
        </w:rPr>
        <w:br/>
        <w:t xml:space="preserve">Jelen vizsgálatainkban a HF-kből származó, a HF biológiai folyamatai</w:t>
      </w:r>
      <w:r>
        <w:rPr>
          <w:color w:val="000000"/>
          <w:sz w:val="24"/>
          <w:szCs w:val="24"/>
        </w:rPr>
        <w:br/>
        <w:t xml:space="preserve">szempontjából fontos szabályozó szereppel bíró külső gyökérhüvely keratinociták</w:t>
      </w:r>
      <w:r>
        <w:rPr>
          <w:color w:val="000000"/>
          <w:sz w:val="24"/>
          <w:szCs w:val="24"/>
        </w:rPr>
        <w:br/>
        <w:t xml:space="preserve">(ORSK) tenyészetén folytattuk kísérleteinket, és megvizsgáltuk egy</w:t>
      </w:r>
      <w:r>
        <w:rPr>
          <w:color w:val="000000"/>
          <w:sz w:val="24"/>
          <w:szCs w:val="24"/>
        </w:rPr>
        <w:br/>
        <w:t xml:space="preserve">fitokannabinoid, a (-)-kannabidiol (CBD) biológiai hatásait.</w:t>
      </w:r>
      <w:r>
        <w:rPr>
          <w:color w:val="000000"/>
          <w:sz w:val="24"/>
          <w:szCs w:val="24"/>
        </w:rPr>
        <w:br/>
        <w:t xml:space="preserve">Megállapítottuk, hogy a CBD 5 µM-ig nem befolyásolta, nagy dózisban azonban</w:t>
      </w:r>
      <w:r>
        <w:rPr>
          <w:color w:val="000000"/>
          <w:sz w:val="24"/>
          <w:szCs w:val="24"/>
        </w:rPr>
        <w:br/>
        <w:t xml:space="preserve">csökkentette az élősejt-számot (CyQUANT assay, DilC1(5)-SYTOX Green</w:t>
      </w:r>
      <w:r>
        <w:rPr>
          <w:color w:val="000000"/>
          <w:sz w:val="24"/>
          <w:szCs w:val="24"/>
        </w:rPr>
        <w:br/>
        <w:t xml:space="preserve">jelölés). A továbbiakban 5 µM-ban alkalmazva a CBD-t, kvantitatív „real time”</w:t>
      </w:r>
      <w:r>
        <w:rPr>
          <w:color w:val="000000"/>
          <w:sz w:val="24"/>
          <w:szCs w:val="24"/>
        </w:rPr>
        <w:br/>
        <w:t xml:space="preserve">PCR (RT-qPCR) segítségével kimutattuk, hogy (i) erőteljes gyulladásgátló hatással</w:t>
      </w:r>
      <w:r>
        <w:rPr>
          <w:color w:val="000000"/>
          <w:sz w:val="24"/>
          <w:szCs w:val="24"/>
        </w:rPr>
        <w:br/>
        <w:t xml:space="preserve">bír; (ii) a keratinociták proliferációs/differenciációs egyensúlyát a proliferáció</w:t>
      </w:r>
      <w:r>
        <w:rPr>
          <w:color w:val="000000"/>
          <w:sz w:val="24"/>
          <w:szCs w:val="24"/>
        </w:rPr>
        <w:br/>
        <w:t xml:space="preserve">irányába tolja; és (iii) a hajciklust reguláló növekedési faktorok egyensúlyában</w:t>
      </w:r>
      <w:r>
        <w:rPr>
          <w:color w:val="000000"/>
          <w:sz w:val="24"/>
          <w:szCs w:val="24"/>
        </w:rPr>
        <w:br/>
        <w:t xml:space="preserve">„növekedési”, azaz anagén irányú változást okoz. Ez utóbbi hatások pontosan az</w:t>
      </w:r>
      <w:r>
        <w:rPr>
          <w:color w:val="000000"/>
          <w:sz w:val="24"/>
          <w:szCs w:val="24"/>
        </w:rPr>
        <w:br/>
        <w:t xml:space="preserve">inverzét jelentik a CB1 aktiváció hatásainak, így hátterükben feltételezéseink</w:t>
      </w:r>
      <w:r>
        <w:rPr>
          <w:color w:val="000000"/>
          <w:sz w:val="24"/>
          <w:szCs w:val="24"/>
        </w:rPr>
        <w:br/>
        <w:t xml:space="preserve">szerint a CBD által kifejtett (irodalmi adatok alapján is ismert) CB1 gátlás állhat,</w:t>
      </w:r>
      <w:r>
        <w:rPr>
          <w:color w:val="000000"/>
          <w:sz w:val="24"/>
          <w:szCs w:val="24"/>
        </w:rPr>
        <w:br/>
        <w:t xml:space="preserve">míg a nagy dózisban tapasztalható sejtszám-csökkenés más kannabinoid receptorok</w:t>
      </w:r>
      <w:r>
        <w:rPr>
          <w:color w:val="000000"/>
          <w:sz w:val="24"/>
          <w:szCs w:val="24"/>
        </w:rPr>
        <w:br/>
        <w:t xml:space="preserve">aktiválásával lehet összefüggésben. Ezen hipotézisünk alátámasztására kimutattuk,</w:t>
      </w:r>
      <w:r>
        <w:rPr>
          <w:color w:val="000000"/>
          <w:sz w:val="24"/>
          <w:szCs w:val="24"/>
        </w:rPr>
        <w:br/>
        <w:t xml:space="preserve">hogy (i) az ORSK-k kifejezik a főként Ca2+-ra permeábilis TRPV2 és -4 ionotróp</w:t>
      </w:r>
      <w:r>
        <w:rPr>
          <w:color w:val="000000"/>
          <w:sz w:val="24"/>
          <w:szCs w:val="24"/>
        </w:rPr>
        <w:br/>
        <w:t xml:space="preserve">kannabinoid receptorokat; (ii) megerősítettük, hogy expresszálják a CB1-et és</w:t>
      </w:r>
      <w:r>
        <w:rPr>
          <w:color w:val="000000"/>
          <w:sz w:val="24"/>
          <w:szCs w:val="24"/>
        </w:rPr>
        <w:br/>
        <w:t xml:space="preserve">TRPV1-et (immuncitokémia, RT-qPCR); és (iii) igazoltuk, hogy a CBD a</w:t>
      </w:r>
      <w:r>
        <w:rPr>
          <w:color w:val="000000"/>
          <w:sz w:val="24"/>
          <w:szCs w:val="24"/>
        </w:rPr>
        <w:br/>
        <w:t xml:space="preserve">korábban citotoxikusnak bizonyult koncentrációban valóban Ca2+ beáramlást okoz</w:t>
      </w:r>
      <w:r>
        <w:rPr>
          <w:color w:val="000000"/>
          <w:sz w:val="24"/>
          <w:szCs w:val="24"/>
        </w:rPr>
        <w:br/>
        <w:t xml:space="preserve">a sejteken (Fluo4 AM Ca2+-imaging), ami ismerten katagén iniciátor hatású.</w:t>
      </w:r>
      <w:r>
        <w:rPr>
          <w:color w:val="000000"/>
          <w:sz w:val="24"/>
          <w:szCs w:val="24"/>
        </w:rPr>
        <w:br/>
        <w:t xml:space="preserve">Összegezve, eredményeink hozzájárulhatnak a CBD-ban rejlő terápiás lehetőségek</w:t>
      </w:r>
      <w:r>
        <w:rPr>
          <w:color w:val="000000"/>
          <w:sz w:val="24"/>
          <w:szCs w:val="24"/>
        </w:rPr>
        <w:br/>
        <w:t xml:space="preserve">feltárásához a kóros szőrnövekedés, valamint a HF mikrokörnyezetében fellépő</w:t>
      </w:r>
      <w:r>
        <w:rPr>
          <w:color w:val="000000"/>
          <w:sz w:val="24"/>
          <w:szCs w:val="24"/>
        </w:rPr>
        <w:br/>
        <w:t xml:space="preserve">gyulladásos folyamatok kezelésében.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370644">
    <w:multiLevelType w:val="hybridMultilevel"/>
    <w:lvl w:ilvl="0" w:tplc="466342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370644">
    <w:abstractNumId w:val="503706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05094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