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FUTÓ</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Komár M.D.</w:t>
            </w:r>
          </w:p>
          <w:p w:rsidR="00DB4822" w:rsidRDefault="00DB4822" w:rsidP="00E11062">
            <w:pPr>
              <w:pStyle w:val="Konzulensek"/>
            </w:pPr>
            <w:r w:rsidRPr="00DB4822">
              <w:t>assistant lecturer,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central corneal thickness measurements with Oculus Pentacam HR and Oculus PARK 1 noncontact devices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 The significance of the central corneal thickness is well-known in ophthalmology. Our aim was to compare two different non-contact measurement methods of central corneal thickness (CCT). Furthermore, it was investigated whether use of hyperosmolar tear influences CCT and intraocular pressure (IOP).</w:t>
      </w:r>
    </w:p>
    <w:p>
      <w:pPr>
        <w:widowControl w:val="on"/>
        <w:pBdr/>
        <w:spacing w:before="240" w:after="240" w:line="240" w:lineRule="auto"/>
        <w:ind w:left="0" w:right="0"/>
        <w:jc w:val="left"/>
      </w:pPr>
      <w:r>
        <w:rPr>
          <w:color w:val="000000"/>
          <w:sz w:val="24"/>
          <w:szCs w:val="24"/>
        </w:rPr>
        <w:t xml:space="preserve">Patients and methods: The same tester measured the CCT of 51 eyes of 27 patients by non-contact Pentacam HR (Device 1) and non-contact Oculus PARK 1 device (Device 2) making 3-3 measurements by eyes and devices. After the first measurement, hyperosmolar tear (OptiveTM) was used into both fornix conjunctivae inferior, and measurements were repeated after pauses of 5 and 30 minutes considering the first measurement sequence. After Komogorov – Smirnov test, Wilcoxon test was performed, and for the statistical analysis of the results, Medcalc (V 9.5.2.0) software was used.</w:t>
      </w:r>
    </w:p>
    <w:p>
      <w:pPr>
        <w:widowControl w:val="on"/>
        <w:pBdr/>
        <w:spacing w:before="240" w:after="240" w:line="240" w:lineRule="auto"/>
        <w:ind w:left="0" w:right="0"/>
        <w:jc w:val="left"/>
      </w:pPr>
      <w:r>
        <w:rPr>
          <w:color w:val="000000"/>
          <w:sz w:val="24"/>
          <w:szCs w:val="24"/>
        </w:rPr>
        <w:t xml:space="preserve">Results: The measured CCT values were 556.08±36.46 μm in the 0th, 557.14±33.31 μm in the 5th 554.62 ± 32.73 μm in the 30th minute for Device 1, and 554.90±37.99 μm in the 0th, 556.39±37.78 μm in the 5th and 556 ± 36.54 μm in the 30th minute for Device 2, respectively. The mean IOP values were 19.59±1.67 Hgmm in the 0th, 19.47±1.68 Hgmm in the 5th and 19.68±1.41 Hgmm in the 30th minute for Device 1, and 19.83±1.51 Hgmm in the 0th, 19.74±1.51 Hgmm in the 5th and 19.76±1.41 Hgmm in the 30th minute for Device 2, respectively. IOP calculation provided by the device was also performed. Based on the statistical analysis, a significant difference (p&lt;0.05) was found for Device 1 between the CCT and IOP values for the 0th and the 30th, and the 5th and the 30th minute data. Furthermore, at the comparison of the two devices, significant differences were obtained for the values in the 0th and the 5th minutes.</w:t>
      </w:r>
    </w:p>
    <w:p>
      <w:pPr>
        <w:widowControl w:val="on"/>
        <w:pBdr/>
        <w:spacing w:before="240" w:after="240" w:line="240" w:lineRule="auto"/>
        <w:ind w:left="0" w:right="0"/>
        <w:jc w:val="left"/>
      </w:pPr>
      <w:r>
        <w:rPr>
          <w:color w:val="000000"/>
          <w:sz w:val="24"/>
          <w:szCs w:val="24"/>
        </w:rPr>
        <w:t xml:space="preserve">Conclusion: As regards CCT, results obtained by the two devices did not differ significantly from each other, therefore, the two devices are reliable alternatives for each other. However, at the calculation of the corrected IOP, the use of hyperosmolar tear should be taken into consideration in case of Pentacam HR.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48188">
    <w:multiLevelType w:val="hybridMultilevel"/>
    <w:lvl w:ilvl="0" w:tplc="95254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48188">
    <w:abstractNumId w:val="98548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282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