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ALEXANDRA</w:t>
            </w:r>
          </w:p>
          <w:p w:rsidR="00C275A3" w:rsidRDefault="00A96AEC" w:rsidP="00C275A3">
            <w:pPr>
              <w:pStyle w:val="Hallgatokepzes"/>
            </w:pPr>
            <w:r>
              <w:t>Általános orvos</w:t>
            </w:r>
            <w:r>
              <w:br/>
            </w:r>
            <w:r w:rsidR="00E77B23">
              <w:t>Osztatlan, 11.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Csanádi Zoltán</w:t>
            </w:r>
          </w:p>
          <w:p w:rsidR="00DB4822" w:rsidRDefault="00DB4822" w:rsidP="00E11062">
            <w:pPr>
              <w:pStyle w:val="Konzulensek"/>
            </w:pPr>
            <w:r w:rsidRPr="00DB4822">
              <w:t>egyetemi docens, DE OEC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Cerebrális mikroembolizáció különböző bal pitvari ablációs technikák mellett pitvarfibrilláló betegekben: összefüggés a kognitív funkcióval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Clinically silent cerebral ischemia (SCI) has been recently demonstrated on diffusion MRI after pulmonary vein isolation (PVI). Although the clinical relevance of these brain lesions is unknown, they raise a new concern regarding the safety of the procedure. The occurrence of these lesions has been shown to correlate with the ablation technology used: phased radiofrequency (RF) ablation has been associated with the highest, while cryoablation with the lowest incidence of SCI. We compared the occurrence of bubble formation seen on intracardiac echocardiography (ICE) and microembolic signals (MES) detected by transcranial Doppler using these two ablation techniques and the longer-term effects of the procedures on cognitive function.</w:t>
      </w:r>
    </w:p>
    <w:p>
      <w:pPr>
        <w:widowControl w:val="on"/>
        <w:pBdr/>
        <w:spacing w:before="240" w:after="240" w:line="240" w:lineRule="auto"/>
        <w:ind w:left="0" w:right="0"/>
        <w:jc w:val="left"/>
      </w:pPr>
      <w:r>
        <w:rPr>
          <w:color w:val="000000"/>
          <w:sz w:val="24"/>
          <w:szCs w:val="24"/>
        </w:rPr>
        <w:t xml:space="preserve">Methods: 26 procedures in 25 patients (age:51±13 years; female:male 5:20) undergoing PVI for paroxysmal or persistent AF were assigned to 3 different treatment groups: I:cryoballoon (CRYO) ablation and conventional intraprocedural anticoagulation regime with target ACT&gt;250 sec (7 procedures); II: ablation using multipolar duty-cycled radiofrequency (RF) catheters (PVAC) with target ACT&gt;250 sec ( 12 procedures); III:ablation with PVAC catheter using a more aggressive anticoagulation protocol with ACT&gt;350 sec (7 procedures). Bubble formation (few, moderate, shower) was assessed on ICE and the number of MES was detected in both middle cerebral arteries using TCD with the ability to discriminate between solid and gaseous emboli. A battery of neuropshychologic tests were also performed in these patients and in six controls with AF but no intervention at baseline and 6 weeks postablation.</w:t>
      </w:r>
    </w:p>
    <w:p>
      <w:pPr>
        <w:widowControl w:val="on"/>
        <w:pBdr/>
        <w:spacing w:before="240" w:after="240" w:line="240" w:lineRule="auto"/>
        <w:ind w:left="0" w:right="0"/>
        <w:jc w:val="left"/>
      </w:pPr>
      <w:r>
        <w:rPr>
          <w:color w:val="000000"/>
          <w:sz w:val="24"/>
          <w:szCs w:val="24"/>
        </w:rPr>
        <w:t xml:space="preserve">Results: Strong correlation (r = 0.89) was found between the degree of bubble formation on ICE and the number of MES in all groups. PVAC ablation is associated with significantly more MES even when a more aggressive anticoagulation is applied. Most of MES are gaseous in nature with both techniques. Clinical stroke/TIA did not occur in any patient. No significant changes in neuropsychologic tests were found in the 3 ablation groups when compared to control patients. (p=0,8).</w:t>
      </w:r>
    </w:p>
    <w:p>
      <w:pPr>
        <w:widowControl w:val="on"/>
        <w:pBdr/>
        <w:spacing w:before="240" w:after="240" w:line="240" w:lineRule="auto"/>
        <w:ind w:left="0" w:right="0"/>
        <w:jc w:val="left"/>
      </w:pPr>
      <w:r>
        <w:rPr>
          <w:color w:val="000000"/>
          <w:sz w:val="24"/>
          <w:szCs w:val="24"/>
        </w:rPr>
        <w:t xml:space="preserve">Conclusions: Duty-cycled RF ablation is associated with significantly more MES even when a more aggressive anticoagulation is applied. Most of MES are gaseous in nature with both techniques. PVI has no short-term effect on cognitive function regardless the ablation technology 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64477">
    <w:multiLevelType w:val="hybridMultilevel"/>
    <w:lvl w:ilvl="0" w:tplc="64962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64477">
    <w:abstractNumId w:val="685644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81613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