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TALA</w:t>
            </w:r>
          </w:p>
          <w:p w:rsidR="00C275A3" w:rsidRDefault="00A96AEC" w:rsidP="00C275A3">
            <w:pPr>
              <w:pStyle w:val="Hallgatokepzes"/>
            </w:pPr>
            <w:r>
              <w:t>English studies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Gergely J. Tamási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Confundo linguam. Nemlétező jelenségek fordítása a Harry Potterben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purpose of present paper is to establish a taxonomy which is suitable for the translation of</w:t>
      </w:r>
      <w:r>
        <w:rPr>
          <w:color w:val="000000"/>
          <w:sz w:val="24"/>
          <w:szCs w:val="24"/>
        </w:rPr>
        <w:br/>
        <w:t xml:space="preserve">words referring to non-existent phenomena through examining the Hungarian translation of</w:t>
      </w:r>
      <w:r>
        <w:rPr>
          <w:color w:val="000000"/>
          <w:sz w:val="24"/>
          <w:szCs w:val="24"/>
        </w:rPr>
        <w:br/>
        <w:t xml:space="preserve">J.K. Rowling’s Harry Potter series by Tamás Boldizsár Tóth. I focus on all kinds of words</w:t>
      </w:r>
      <w:r>
        <w:rPr>
          <w:color w:val="000000"/>
          <w:sz w:val="24"/>
          <w:szCs w:val="24"/>
        </w:rPr>
        <w:br/>
        <w:t xml:space="preserve">that form a lexical gap in the target language, be it invented or already existing word in</w:t>
      </w:r>
      <w:r>
        <w:rPr>
          <w:color w:val="000000"/>
          <w:sz w:val="24"/>
          <w:szCs w:val="24"/>
        </w:rPr>
        <w:br/>
        <w:t xml:space="preserve">English. Mostly Vinay and Darbelnet’s and Garcés’s classifications are used; furthermore, I</w:t>
      </w:r>
      <w:r>
        <w:rPr>
          <w:color w:val="000000"/>
          <w:sz w:val="24"/>
          <w:szCs w:val="24"/>
        </w:rPr>
        <w:br/>
        <w:t xml:space="preserve">make a distinction between borrowing with and without applying any alterations in spelling. I</w:t>
      </w:r>
      <w:r>
        <w:rPr>
          <w:color w:val="000000"/>
          <w:sz w:val="24"/>
          <w:szCs w:val="24"/>
        </w:rPr>
        <w:br/>
        <w:t xml:space="preserve">also classify the nouns into smaller units, which is justified by the difference in the frequency</w:t>
      </w:r>
      <w:r>
        <w:rPr>
          <w:color w:val="000000"/>
          <w:sz w:val="24"/>
          <w:szCs w:val="24"/>
        </w:rPr>
        <w:br/>
        <w:t xml:space="preserve">of the translation strategies applied. It will be shown that the translation of proper nouns</w:t>
      </w:r>
      <w:r>
        <w:rPr>
          <w:color w:val="000000"/>
          <w:sz w:val="24"/>
          <w:szCs w:val="24"/>
        </w:rPr>
        <w:br/>
        <w:t xml:space="preserve">serves as a richer basis for the translation operations than that of common nouns; and it will</w:t>
      </w:r>
      <w:r>
        <w:rPr>
          <w:color w:val="000000"/>
          <w:sz w:val="24"/>
          <w:szCs w:val="24"/>
        </w:rPr>
        <w:br/>
        <w:t xml:space="preserve">also be pointed out that most kinds of fictitious words enable the translator to apply</w:t>
      </w:r>
      <w:r>
        <w:rPr>
          <w:color w:val="000000"/>
          <w:sz w:val="24"/>
          <w:szCs w:val="24"/>
        </w:rPr>
        <w:br/>
        <w:t xml:space="preserve">adaptation types. However, in the present paper no corpus-based analysis is applied; this is</w:t>
      </w:r>
      <w:r>
        <w:rPr>
          <w:color w:val="000000"/>
          <w:sz w:val="24"/>
          <w:szCs w:val="24"/>
        </w:rPr>
        <w:br/>
        <w:t xml:space="preserve">still open for further research.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11154">
    <w:multiLevelType w:val="hybridMultilevel"/>
    <w:lvl w:ilvl="0" w:tplc="35525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11154">
    <w:abstractNumId w:val="424111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634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