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CSŐKE</w:t>
            </w:r>
          </w:p>
          <w:p w:rsidR="00C275A3" w:rsidRDefault="00A96AEC" w:rsidP="00C275A3">
            <w:pPr>
              <w:pStyle w:val="Hallgatokepzes"/>
            </w:pPr>
            <w:r>
              <w:t>English studies</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Czigányik</w:t>
            </w:r>
          </w:p>
          <w:p w:rsidR="00DB4822" w:rsidRDefault="00DB4822" w:rsidP="00E11062">
            <w:pPr>
              <w:pStyle w:val="Konzulensek"/>
            </w:pPr>
            <w:r w:rsidRPr="00DB4822">
              <w:t>assistant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Philosophical Trends and Alter Egos in Umberto Eco’s The Name of the Rose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Umberto Eco’s novel, The Name of the Rose, has several layers of interpretation. This paper is dedicated to focus on it as historical fiction, which depicts the clash of religious dogmas and scientific thinking at the dawn of the Renaissance.</w:t>
      </w:r>
    </w:p>
    <w:p>
      <w:pPr>
        <w:widowControl w:val="on"/>
        <w:pBdr/>
        <w:spacing w:before="240" w:after="240" w:line="240" w:lineRule="auto"/>
        <w:ind w:left="0" w:right="0"/>
        <w:jc w:val="left"/>
      </w:pPr>
      <w:r>
        <w:rPr>
          <w:color w:val="000000"/>
          <w:sz w:val="24"/>
          <w:szCs w:val="24"/>
        </w:rPr>
        <w:t xml:space="preserve">In the first place, the differences between history writing and historical fiction must be clarified, along with identifying what criteria make a source credible. In the present paper, Hayden White’s approach is to be adopted; which focuses on the similar narrative forms of the two genres, pointing out their shortcomings and the need to overcome these obstacles for the narratives to pass as plausible sources of events. White also claims that the main criteria of credibility are correspondence, thorough research and strive for verisimilitude. Furthermore, to understand why Renaissance thinking rejected the medieval view of the world so intensely, the contrast between the medieval and Renaissance utilization of Ancient Greek knowledge is investigated.</w:t>
      </w:r>
    </w:p>
    <w:p>
      <w:pPr>
        <w:widowControl w:val="on"/>
        <w:pBdr/>
        <w:spacing w:before="240" w:after="240" w:line="240" w:lineRule="auto"/>
        <w:ind w:left="0" w:right="0"/>
        <w:jc w:val="left"/>
      </w:pPr>
      <w:r>
        <w:rPr>
          <w:color w:val="000000"/>
          <w:sz w:val="24"/>
          <w:szCs w:val="24"/>
        </w:rPr>
        <w:t xml:space="preserve">Adverting to alter egos many instances in the novel seem to prove that Eco’s detective, Brother William much resembles to the great nominalist William of Ockham. The friar even uses the theory known as Ockham’s razor as criminalistic method in his search for the murderer. The other apparent, yet spectacularly drawn character represents medieval values. It is the blind librarian, Jorge of Burgos, through whom Eco likely refers to contemporary Argentinean writer Jorge Luis Borges. These characters lead to another, obvious but important example: a quote from Ludwig Wittgenstein, an early representative of analytic philosophy, and the first thinker who parted with the traditions of Aristotle; which, in terms of philosophy, bound the Middle Ages to the Renaissance underneath.</w:t>
      </w:r>
    </w:p>
    <w:p>
      <w:pPr>
        <w:widowControl w:val="on"/>
        <w:pBdr/>
        <w:spacing w:before="240" w:after="240" w:line="240" w:lineRule="auto"/>
        <w:ind w:left="0" w:right="0"/>
        <w:jc w:val="left"/>
      </w:pPr>
      <w:r>
        <w:rPr>
          <w:color w:val="000000"/>
          <w:sz w:val="24"/>
          <w:szCs w:val="24"/>
        </w:rPr>
        <w:t xml:space="preserve">The purpose of this paper was not only to find arguments that confirm which branch of philosophy the main characters represent, and who they might be identified with; but to pave the way for a brief analysis of the extraordinary, paradox ending. The tension between the assumed opposition in the trends is beautifully dissolved with closing the novel by quoting the brilliant philosopher who first parted with the tradition that linked them together. Similarly to the ladder in Wittgenstein’s quote, historical novels can be looked upon as instruments to dissolve a seemingly paradox temporal relationship. In Eco’s novel, this claim is proven on many levels.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40269">
    <w:multiLevelType w:val="hybridMultilevel"/>
    <w:lvl w:ilvl="0" w:tplc="91882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40269">
    <w:abstractNumId w:val="147402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680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