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ZSOMBOR-ALPÁR PÁNTI</w:t>
            </w:r>
          </w:p>
          <w:p w:rsidR="00C275A3" w:rsidRDefault="00A96AEC" w:rsidP="00C275A3">
            <w:pPr>
              <w:pStyle w:val="Hallgatokepzes"/>
            </w:pPr>
            <w:r>
              <w:t>General Medicine</w:t>
            </w:r>
            <w:r>
              <w:br/>
            </w:r>
            <w:r w:rsidR="00E77B23">
              <w:t>Unified, 7. semester</w:t>
            </w:r>
          </w:p>
          <w:p w:rsidR="00C265CE" w:rsidRPr="009E5FF1" w:rsidRDefault="00E77B23" w:rsidP="00C275A3">
            <w:pPr>
              <w:pStyle w:val="Hallgatokepzes"/>
              <w:rPr>
                <w:b/>
                <w:caps/>
              </w:rPr>
            </w:pPr>
            <w:r>
              <w:t>University of Medicine and Pharmacy of Târgu Mureș</w:t>
            </w:r>
            <w:r w:rsidR="00C275A3">
              <w:br/>
            </w:r>
            <w:r w:rsidR="00DB4822">
              <w:t>General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Gergely</w:t>
            </w:r>
          </w:p>
          <w:p w:rsidR="00DB4822" w:rsidRDefault="00DB4822" w:rsidP="00E11062">
            <w:pPr>
              <w:pStyle w:val="Konzulensek"/>
            </w:pPr>
            <w:r w:rsidRPr="00DB4822">
              <w:t>lecturer, MOGYE</w:t>
            </w:r>
          </w:p>
        </w:tc>
      </w:tr>
      <w:tr w:rsidR="00DB4822" w:rsidTr="00DB4822">
        <w:tc>
          <w:tcPr>
            <w:tcW w:w="9854" w:type="dxa"/>
          </w:tcPr>
          <w:p w:rsidR="00DB4822" w:rsidRPr="00DB4822" w:rsidRDefault="00DB4822" w:rsidP="004D7940">
            <w:pPr>
              <w:pStyle w:val="Konzulensek"/>
            </w:pPr>
            <w:r w:rsidRPr="00DB4822">
              <w:t>Dr. Árpád Sólyom</w:t>
            </w:r>
          </w:p>
          <w:p w:rsidR="00DB4822" w:rsidRDefault="00DB4822" w:rsidP="00E11062">
            <w:pPr>
              <w:pStyle w:val="Konzulensek"/>
            </w:pPr>
            <w:r w:rsidRPr="00DB4822">
              <w:t>assistant 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Morfological and functional comparison of domestic swine (sus scrofa domestica) and human knee joint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the last decades, the bone and joint surgery went through a phase of rapid development. There are a lot of animal models available for research purposes, and the choice of the suitable animal might be a major contribution to the overall success of a study. Our aim was to compare the anatomy and the biomechanics of the knee joint of domestic swine and of a human, and to create a database that would help us to perform anterior cruciate ligament replacement on animal models. Material and method: Three of the left posterior limb of the 7- months-old swine were examined by Röentgen and magnetic resonance imagistics, followed by the dissection method. First, the soft tissues of the knee joint were removed, than the patellar tendon (PT) and anterior cruciate ligament (ACL) were measured. Finally, these components were sent to histological analysis. In order to perform the comparison, three of human male cadaveric knee joints were examined. Results: The average length of the swine PT was 7.2 cm, while the human PT only 4.2 cm, with the intercondylar space being higher and narrower in the swine knee joint. There was no significant histological difference between the two types of knee joints. From a biomechanical perspective the kinetic model described by Kapandji can also be applied in the case of the swine knee joint. Conclusions: The bone-tendon-bone (BTB) technique as a replacement method of the anterior cruciate ligament of the knee joint can be applied in swine animal model, however, the longer PT and the narrowness of the intercondylar space justifies the change of some steps of the surgery performed on humans.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05505">
    <w:multiLevelType w:val="hybridMultilevel"/>
    <w:lvl w:ilvl="0" w:tplc="32155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05505">
    <w:abstractNumId w:val="35305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119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