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RÓBERT GÁBOR SUVANJEIEV</w:t>
            </w:r>
          </w:p>
          <w:p w:rsidR="00C275A3" w:rsidRDefault="00A96AEC" w:rsidP="00C275A3">
            <w:pPr>
              <w:pStyle w:val="Hallgatokepzes"/>
            </w:pPr>
            <w:r>
              <w:t>General Medicine</w:t>
            </w:r>
            <w:r>
              <w:br/>
            </w:r>
            <w:r w:rsidR="00E77B23">
              <w:t>Unified, 7. semester</w:t>
            </w:r>
          </w:p>
          <w:p w:rsidR="00C265CE" w:rsidRPr="009E5FF1" w:rsidRDefault="00E77B23" w:rsidP="00C275A3">
            <w:pPr>
              <w:pStyle w:val="Hallgatokepzes"/>
              <w:rPr>
                <w:b/>
                <w:caps/>
              </w:rPr>
            </w:pPr>
            <w:r>
              <w:t>University of Medicine and Pharmacy Targu Mures</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László Datki</w:t>
            </w:r>
          </w:p>
          <w:p w:rsidR="00DB4822" w:rsidRDefault="00DB4822" w:rsidP="00E11062">
            <w:pPr>
              <w:pStyle w:val="Konzulensek"/>
            </w:pPr>
            <w:r w:rsidRPr="00DB4822">
              <w:t>research fellow, SZTE ÁOK</w:t>
            </w:r>
          </w:p>
        </w:tc>
      </w:tr>
      <w:tr w:rsidR="00DB4822" w:rsidTr="00DB4822">
        <w:tc>
          <w:tcPr>
            <w:tcW w:w="9854" w:type="dxa"/>
          </w:tcPr>
          <w:p w:rsidR="00DB4822" w:rsidRPr="00DB4822" w:rsidRDefault="00DB4822" w:rsidP="004D7940">
            <w:pPr>
              <w:pStyle w:val="Konzulensek"/>
            </w:pPr>
            <w:r w:rsidRPr="00DB4822">
              <w:t>Prof. Dr. Botond Penke</w:t>
            </w:r>
          </w:p>
          <w:p w:rsidR="00DB4822" w:rsidRDefault="00DB4822" w:rsidP="00E11062">
            <w:pPr>
              <w:pStyle w:val="Konzulensek"/>
            </w:pPr>
            <w:r w:rsidRPr="00DB4822">
              <w:t>professor, SZTE ÁOK</w:t>
            </w:r>
          </w:p>
        </w:tc>
      </w:tr>
      <w:tr w:rsidR="00DB4822" w:rsidTr="00DB4822">
        <w:tc>
          <w:tcPr>
            <w:tcW w:w="9854" w:type="dxa"/>
          </w:tcPr>
          <w:p w:rsidR="00DB4822" w:rsidRPr="00DB4822" w:rsidRDefault="00DB4822" w:rsidP="004D7940">
            <w:pPr>
              <w:pStyle w:val="Konzulensek"/>
            </w:pPr>
            <w:r w:rsidRPr="00DB4822">
              <w:t>Prof. Dr. Attila Brassai</w:t>
            </w:r>
          </w:p>
          <w:p w:rsidR="00DB4822" w:rsidRDefault="00DB4822" w:rsidP="00E11062">
            <w:pPr>
              <w:pStyle w:val="Konzulensek"/>
            </w:pPr>
            <w:r w:rsidRPr="00DB4822">
              <w:t>professor, MOGYE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 vivo” modelling of Alzheimer’s disease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Introduction: The early diagnose and cure of the Alzheimer’s disease is an increasingly important issue of the XXIst century. Worldwide, more than 12 million people suffer from this disease and the prevalence in patients over 65 years will double every five years.</w:t>
      </w:r>
    </w:p>
    <w:p>
      <w:pPr>
        <w:widowControl w:val="on"/>
        <w:pBdr/>
        <w:spacing w:before="240" w:after="240" w:line="240" w:lineRule="auto"/>
        <w:ind w:left="0" w:right="0"/>
        <w:jc w:val="left"/>
      </w:pPr>
      <w:r>
        <w:rPr>
          <w:color w:val="000000"/>
          <w:sz w:val="24"/>
          <w:szCs w:val="24"/>
        </w:rPr>
        <w:t xml:space="preserve">Objectives: Two forms of Alzheimer’s disease are distinguished: the familial and sporadic. These forms can be examined trough different models. The objective of my dissertation is the presentation of these models.</w:t>
      </w:r>
    </w:p>
    <w:p>
      <w:pPr>
        <w:widowControl w:val="on"/>
        <w:pBdr/>
        <w:spacing w:before="240" w:after="240" w:line="240" w:lineRule="auto"/>
        <w:ind w:left="0" w:right="0"/>
        <w:jc w:val="left"/>
      </w:pPr>
      <w:r>
        <w:rPr>
          <w:color w:val="000000"/>
          <w:sz w:val="24"/>
          <w:szCs w:val="24"/>
        </w:rPr>
        <w:t xml:space="preserve">Matherial and method: For the modelling of the familial form of Alzheimer’s disease, human amyloid precursor protein (hAPP) transgenic mice with high </w:t>
      </w:r>
      <w:r>
        <w:rPr>
          <w:color w:val="000000"/>
          <w:position w:val="-3"/>
          <w:sz w:val="24"/>
          <w:szCs w:val="24"/>
        </w:rPr>
        <w:drawing>
          <wp:inline distT="0" distB="0" distL="0" distR="0">
            <wp:extent cx="115200" cy="136800"/>
            <wp:docPr id="15859441" name="name1512c75dad426c" descr="imgtmp_15134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5134_int_1.gif"/>
                    <pic:cNvPicPr/>
                  </pic:nvPicPr>
                  <pic:blipFill>
                    <a:blip r:embed="rId1512c75dad422e" cstate="print"/>
                    <a:stretch>
                      <a:fillRect/>
                    </a:stretch>
                  </pic:blipFill>
                  <pic:spPr>
                    <a:xfrm>
                      <a:off x="0" y="0"/>
                      <a:ext cx="115200" cy="136800"/>
                    </a:xfrm>
                    <a:prstGeom prst="rect">
                      <a:avLst/>
                    </a:prstGeom>
                    <a:ln w="0">
                      <a:noFill/>
                    </a:ln>
                  </pic:spPr>
                </pic:pic>
              </a:graphicData>
            </a:graphic>
          </wp:inline>
        </w:drawing>
      </w:r>
      <w:r>
        <w:rPr>
          <w:color w:val="000000"/>
          <w:sz w:val="24"/>
          <w:szCs w:val="24"/>
        </w:rPr>
        <w:t xml:space="preserve">-amyloid level are used. The behavioral changes are in correlation with the depletion of the synaptic activity-dependent proteins located in the dentate gyrus. For the modelling of the sporadic form there are several possibilities: intracerebroventricular injection of </w:t>
      </w:r>
      <w:r>
        <w:rPr>
          <w:color w:val="000000"/>
          <w:position w:val="-3"/>
          <w:sz w:val="24"/>
          <w:szCs w:val="24"/>
        </w:rPr>
        <w:drawing>
          <wp:inline distT="0" distB="0" distL="0" distR="0">
            <wp:extent cx="115200" cy="136800"/>
            <wp:docPr id="66618615" name="name1512c75dad46b1" descr="imgtmp_15134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5134_int_2.gif"/>
                    <pic:cNvPicPr/>
                  </pic:nvPicPr>
                  <pic:blipFill>
                    <a:blip r:embed="rId1512c75dad4674" cstate="print"/>
                    <a:stretch>
                      <a:fillRect/>
                    </a:stretch>
                  </pic:blipFill>
                  <pic:spPr>
                    <a:xfrm>
                      <a:off x="0" y="0"/>
                      <a:ext cx="115200" cy="136800"/>
                    </a:xfrm>
                    <a:prstGeom prst="rect">
                      <a:avLst/>
                    </a:prstGeom>
                    <a:ln w="0">
                      <a:noFill/>
                    </a:ln>
                  </pic:spPr>
                </pic:pic>
              </a:graphicData>
            </a:graphic>
          </wp:inline>
        </w:drawing>
      </w:r>
      <w:r>
        <w:rPr>
          <w:color w:val="000000"/>
          <w:sz w:val="24"/>
          <w:szCs w:val="24"/>
        </w:rPr>
        <w:t xml:space="preserve">-amyloid (ICV), aromatase inhibitor treatment (ex.: Formestane), REM-phase deprivation, the combination of REM-phase deprivation and aromatase inhibitor treatment.</w:t>
      </w:r>
    </w:p>
    <w:p>
      <w:pPr>
        <w:widowControl w:val="on"/>
        <w:pBdr/>
        <w:spacing w:before="240" w:after="240" w:line="240" w:lineRule="auto"/>
        <w:ind w:left="0" w:right="0"/>
        <w:jc w:val="left"/>
      </w:pPr>
      <w:r>
        <w:rPr>
          <w:color w:val="000000"/>
          <w:sz w:val="24"/>
          <w:szCs w:val="24"/>
        </w:rPr>
        <w:t xml:space="preserve">Results: The use of transgenic animals have proved successful for the study of the familial form Alzheimer’s disease. For the modelling of the sporadic form the ICV injection of </w:t>
      </w:r>
      <w:r>
        <w:rPr>
          <w:color w:val="000000"/>
          <w:position w:val="-3"/>
          <w:sz w:val="24"/>
          <w:szCs w:val="24"/>
        </w:rPr>
        <w:drawing>
          <wp:inline distT="0" distB="0" distL="0" distR="0">
            <wp:extent cx="115200" cy="136800"/>
            <wp:docPr id="36433597" name="name1512c75dad4a09" descr="imgtmp_15134_int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5134_int_3.gif"/>
                    <pic:cNvPicPr/>
                  </pic:nvPicPr>
                  <pic:blipFill>
                    <a:blip r:embed="rId1512c75dad49cd" cstate="print"/>
                    <a:stretch>
                      <a:fillRect/>
                    </a:stretch>
                  </pic:blipFill>
                  <pic:spPr>
                    <a:xfrm>
                      <a:off x="0" y="0"/>
                      <a:ext cx="115200" cy="136800"/>
                    </a:xfrm>
                    <a:prstGeom prst="rect">
                      <a:avLst/>
                    </a:prstGeom>
                    <a:ln w="0">
                      <a:noFill/>
                    </a:ln>
                  </pic:spPr>
                </pic:pic>
              </a:graphicData>
            </a:graphic>
          </wp:inline>
        </w:drawing>
      </w:r>
      <w:r>
        <w:rPr>
          <w:color w:val="000000"/>
          <w:sz w:val="24"/>
          <w:szCs w:val="24"/>
        </w:rPr>
        <w:t xml:space="preserve">-amyloid and the aromatase inhibitor treatment are accepted procedures. Experiment: induceing REM-phase deprivation and the combination of REM-phase deprivation and aromatase inhibitor treatment.</w:t>
      </w:r>
    </w:p>
    <w:p>
      <w:pPr>
        <w:widowControl w:val="on"/>
        <w:pBdr/>
        <w:spacing w:before="240" w:after="240" w:line="240" w:lineRule="auto"/>
        <w:ind w:left="0" w:right="0"/>
        <w:jc w:val="left"/>
      </w:pPr>
      <w:r>
        <w:rPr>
          <w:color w:val="000000"/>
          <w:sz w:val="24"/>
          <w:szCs w:val="24"/>
        </w:rPr>
        <w:t xml:space="preserve">Discussion: Adventages and disadventages of each model. The only effective method of modelling the familial form of Alzheimer’s disease is the transgenic animal, diadventage is the high cost. In the modelling of the sporadic form, the disadventage of the ICV injection is the high possibility of technical errors, the disadventage of the aromatase inhibitor treatment is the repeated impact of stress on the animals (daily intraperitoneal injections) and the disadventage of the REM-phase deprivation is, that behavioral tests can not be performed.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72598">
    <w:multiLevelType w:val="hybridMultilevel"/>
    <w:lvl w:ilvl="0" w:tplc="51413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72598">
    <w:abstractNumId w:val="663725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4576363" Type="http://schemas.openxmlformats.org/officeDocument/2006/relationships/numbering" Target="numbering.xml"/><Relationship Id="rId1512c75dad422e" Type="http://schemas.openxmlformats.org/officeDocument/2006/relationships/image" Target="media/imgrId1512c75dad422e.gif"/><Relationship Id="rId1512c75dad4674" Type="http://schemas.openxmlformats.org/officeDocument/2006/relationships/image" Target="media/imgrId1512c75dad4674.gif"/><Relationship Id="rId1512c75dad49cd" Type="http://schemas.openxmlformats.org/officeDocument/2006/relationships/image" Target="media/imgrId1512c75dad49cd.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