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BALAN ROBERT</w:t>
            </w:r>
          </w:p>
          <w:p w:rsidR="00C275A3" w:rsidRDefault="00A96AEC" w:rsidP="00C275A3">
            <w:pPr>
              <w:pStyle w:val="Hallgatokepzes"/>
            </w:pPr>
            <w:r>
              <w:t>General Medicine</w:t>
            </w:r>
            <w:r>
              <w:br/>
            </w:r>
            <w:r w:rsidR="00E77B23">
              <w:t>Unified, 7. semester</w:t>
            </w:r>
          </w:p>
          <w:p w:rsidR="00C265CE" w:rsidRPr="009E5FF1" w:rsidRDefault="00E77B23" w:rsidP="00C275A3">
            <w:pPr>
              <w:pStyle w:val="Hallgatokepzes"/>
              <w:rPr>
                <w:b/>
                <w:caps/>
              </w:rPr>
            </w:pPr>
            <w:r>
              <w:t>University of Medicine and Pharmacy of Târgu Mureş</w:t>
            </w:r>
            <w:r w:rsidR="00C275A3">
              <w:br/>
            </w:r>
            <w:r w:rsidR="00DB4822">
              <w:t>General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Benedek Imre</w:t>
            </w:r>
          </w:p>
          <w:p w:rsidR="00DB4822" w:rsidRDefault="00DB4822" w:rsidP="00E11062">
            <w:pPr>
              <w:pStyle w:val="Konzulensek"/>
            </w:pPr>
            <w:r w:rsidRPr="00DB4822">
              <w:t>professor, MOGYE</w:t>
            </w:r>
          </w:p>
        </w:tc>
      </w:tr>
      <w:tr w:rsidR="00DB4822" w:rsidTr="00DB4822">
        <w:tc>
          <w:tcPr>
            <w:tcW w:w="9854" w:type="dxa"/>
          </w:tcPr>
          <w:p w:rsidR="00DB4822" w:rsidRPr="00DB4822" w:rsidRDefault="00DB4822" w:rsidP="004D7940">
            <w:pPr>
              <w:pStyle w:val="Konzulensek"/>
            </w:pPr>
            <w:r w:rsidRPr="00DB4822">
              <w:t>Dr. Chitu Monica</w:t>
            </w:r>
          </w:p>
          <w:p w:rsidR="00DB4822" w:rsidRDefault="00DB4822" w:rsidP="00E11062">
            <w:pPr>
              <w:pStyle w:val="Konzulensek"/>
            </w:pPr>
            <w:r w:rsidRPr="00DB4822">
              <w:t>cardiologist, MOGYE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COMPLETE LESION VERSUS CULPRIT LESION REVASCULARIZATION IN ACUTE ST ELEVATION MYOCARDIAL INFARCTION PATIENTS WITH MULTIVESSEL DISEASE UNDERGOING PRIMARY PERCUTANEOUS CORONARY INTERVENTION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acute STEMI, achieving the maximum myocardial reperfusion and salvage by primary percutaneous intervention of culprit lesion is the preferred reperfusion strategy as per the latest ACC/AHA and ESC guidelines. At presently there is no consensus regarding the management of significant non culprit lesions during the initial presentation in hemodynamically stable STEMI patients.Although multivessel revascularization seems to improve the myocardial reperfusion and its salvage by limiting infarct size, improving ejection fraction (EF) and stabilizing the vulnerable plaques in acute AMI presentation, revascularization of non IRAs yielded conflicting results in the BMS era. More that 40% patients presenting with AMI have multivessel disease and plaque instability might develop in a multifocal pattern, resulting in unstable plaques in anatomically remote locations and may emerge as the cause of recurrent acute coronary syndrome. Multivessel PCI is recommended by ACC/AHA and ESC guidelines only for patients with cardiogenic shock</w:t>
      </w:r>
      <w:r>
        <w:rPr>
          <w:color w:val="000000"/>
          <w:sz w:val="24"/>
          <w:szCs w:val="24"/>
        </w:rPr>
        <w:br/>
        <w:t xml:space="preserve">METHODS : we examined 12 consecutive hemodinamically stable patients who had an acute STEMI and at least one or more lesions &gt;/= 70% in a major epicardial vessel other than the infarct related artery and was admitted like primary outcomes target vessel related major adverse cardiac events( intraprocedural death , MI, recurrence of revascularization need ) and secondary outcomes total major cardiac adverse events at 6 respectively 12 months and , incidence of ireversible nephropathy.</w:t>
      </w:r>
      <w:r>
        <w:rPr>
          <w:color w:val="000000"/>
          <w:sz w:val="24"/>
          <w:szCs w:val="24"/>
        </w:rPr>
        <w:br/>
        <w:t xml:space="preserve">RESULTS: Complete revascularization (CR) was associated with reduced incidence of major cardiac events (recurrent ischemia, reinfarction, acute heart failure and in-hospital mortality) There was a significant lower rate of recurrent ischemic episodes , myocardial reinfarction, reintervention , acute heart failure during hospitalization and shorter hospitalization in the complet revascularization group (5,6 % versus 24%). Transient renal dysfunction was more common in CR patients (8.4% versus 4% ) The fluoroscopy time and the amount of contrast used was significantly increased in multivessel group, but peak CK and CK-MB were significantly lower in patients of the MV-PCI group</w:t>
      </w:r>
      <w:r>
        <w:rPr>
          <w:color w:val="000000"/>
          <w:sz w:val="24"/>
          <w:szCs w:val="24"/>
        </w:rPr>
        <w:br/>
        <w:t xml:space="preserve">CONCLUSION: Multivessel PCI during acute myocardial infarction is feasible and safe. Complete revascularization resulted in an improved acute clinical course. These data support a policy of complete revascularization during primary PCI for STEMI.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636450">
    <w:multiLevelType w:val="hybridMultilevel"/>
    <w:lvl w:ilvl="0" w:tplc="730833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636450">
    <w:abstractNumId w:val="226364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49642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