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HÓBOR ILKA</w:t>
            </w:r>
          </w:p>
          <w:p w:rsidR="00C275A3" w:rsidRDefault="00A96AEC" w:rsidP="00C275A3">
            <w:pPr>
              <w:pStyle w:val="Hallgatokepzes"/>
            </w:pPr>
            <w:r>
              <w:t>Élelmiszerbiztonsági és -minőségi mérnök Msc</w:t>
            </w:r>
            <w:r>
              <w:br/>
            </w:r>
            <w:r w:rsidR="00E77B23">
              <w:t>MSc, 1.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Kiskó Gabriella</w:t>
            </w:r>
          </w:p>
          <w:p w:rsidR="00DB4822" w:rsidRDefault="00DB4822" w:rsidP="00E11062">
            <w:pPr>
              <w:pStyle w:val="Konzulensek"/>
            </w:pPr>
            <w:r w:rsidRPr="00DB4822">
              <w:t>egyetemi docens, BCE ÉTK</w:t>
            </w:r>
          </w:p>
        </w:tc>
      </w:tr>
      <w:tr w:rsidR="00DB4822" w:rsidTr="00DB4822">
        <w:tc>
          <w:tcPr>
            <w:tcW w:w="9854" w:type="dxa"/>
          </w:tcPr>
          <w:p w:rsidR="00DB4822" w:rsidRPr="00DB4822" w:rsidRDefault="00DB4822" w:rsidP="004D7940">
            <w:pPr>
              <w:pStyle w:val="Konzulensek"/>
            </w:pPr>
            <w:r w:rsidRPr="00DB4822">
              <w:t>Dr. Nguyen Duc Quang</w:t>
            </w:r>
          </w:p>
          <w:p w:rsidR="00DB4822" w:rsidRDefault="00DB4822" w:rsidP="00E11062">
            <w:pPr>
              <w:pStyle w:val="Konzulensek"/>
            </w:pPr>
            <w:r w:rsidRPr="00DB4822">
              <w:t>egyetemi docens,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Listeria monocytogenes törzsek gátlásának vizsgálata hatásfelület analízissel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az élelmiszer előállítók előnyben részesítik a kíméletesebb élelmiszer feldolgozási eljárásokat. A kevésbé feldolgozott, természetesebb, kevesebb tartósítószert tartalmazó termékeknek a hátránya, hogy élelmiszerbiztonsági szempontból komoly problémákat okozhatnak. Listeria monocytogenes olyan embert is megbetegítő baktérium, amely hosszú időn át képes életben maradni számára kedvezőtlen környezeti körülmények között is. Az élelmiszer eredetű emberi megbetegedéseket főként fertőzött, illetve nyers tej és az abból készült tejtermékek okozzák. Az élelmiszer eredetű humán liszteriózisok számának emelkedése indokolttá teszi a L. monocytogenes stressztényezőkkel szembeni ellenállóképességének alapos vizsgálatát. A kutatómunkámban különböző pH érték, NaCl és nizin koncentráció jelenlétében vizsgáltam a L. monocytogenes törzsek túlélési-alkalmazkodási képességét. A három stressztényező együttes hatásának vizsgálatára hatásfelületi kísérlettervezési módszert alkalmaztam. Megállapítottam, hogy az optimális szaporodási hőmérsékleten, egyik törzsnél sem detektálható az abszorbancia változása 24 óráig a pH 5 – 5% NaCl tartalmú kombinációnál 30 U nizin tartalmú táplevesben. A két tejipari izlátumhoz képest a CCM 7202 törzs gyengébben szaporodott az adott kísérleti környezetben, sőt a pH 3,97 – 7% NaCl, a pH 9,02 – 7% NaCl és a pH 6,5 – 3,63% NaCl feltételek mellett nem is volt képes 24 óra alatt a szaporodásra 60 U nizint tartalmazó táplevesekben. A P13 tejipari izolátum bizonyult a leginkább alkalmazkodó törzsnek. Még a pH 6,53 – 3,63% NaCl tartalmú levesben is beindult a szaporodása a kísérlet utolsó órájában 60 U nizin összetételű oldatban. Megállapítható, hogy a pH csökkentése (&lt;4) vagy növelése (&gt;9) jelentősen gátolta a CCM 7202 törzs szaporodását. Az eredmények alapján a következő dózist tartom megfelelőnek a vizsgált törzsek szaporodásának gátlására: pH=4, NaCl 3%, nizin 60 U. A kapott eredmények alapján összegzésként elmondható, hogy mind a két tejipari izolátum jobban tűrte a pH és NaCl változását, mint a törzsgyűjteményi CCM 7202 törzs. Általánosságban azt tapasztaltam, hogy a nizin jelenléte csak enyhén gátló hatást eredményezett. A három faktor kombinált hatásával (pH, NaCl és nizin) megakadályozható a vizsgált törzsek elszaporodása.</w:t>
      </w:r>
    </w:p>
    <w:p>
      <w:pPr>
        <w:pBdr/>
        <w:spacing w:before="240" w:after="240" w:line="240" w:lineRule="auto"/>
        <w:ind w:left="0" w:right="0"/>
        <w:jc w:val="left"/>
      </w:pPr>
      <w:r>
        <w:rPr>
          <w:color w:val="000000"/>
          <w:sz w:val="24"/>
          <w:szCs w:val="24"/>
        </w:rPr>
        <w:t xml:space="preserve">Kutatómunkám TÁMOP-4.2.1./B-09/1-KMR-2010-0005, TÁMOP-4.2.2/B-10/1-2010-0023 és TECH_09-A3-2009-0194 projektek támogatják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02169">
    <w:multiLevelType w:val="hybridMultilevel"/>
    <w:lvl w:ilvl="0" w:tplc="39824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02169">
    <w:abstractNumId w:val="409021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955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