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HORVATH</w:t>
            </w:r>
          </w:p>
          <w:p w:rsidR="00C275A3" w:rsidRDefault="00A96AEC" w:rsidP="00C275A3">
            <w:pPr>
              <w:pStyle w:val="Hallgatokepzes"/>
            </w:pPr>
            <w:r>
              <w:t>Special Education</w:t>
            </w:r>
            <w:r>
              <w:br/>
            </w:r>
            <w:r w:rsidR="00E77B23">
              <w:t>BA, 8.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Marta Bako Gelencsérné</w:t>
            </w:r>
          </w:p>
          <w:p w:rsidR="00DB4822" w:rsidRDefault="00DB4822" w:rsidP="00E11062">
            <w:pPr>
              <w:pStyle w:val="Konzulensek"/>
            </w:pPr>
            <w:r w:rsidRPr="00DB4822">
              <w:t>  professor’s assistant,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Importance of the social competence in the prevention of learning dysfunctions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Based on my theoretical and practical experiences received during my university studies I have observed that the lack of social competence can be observed and ascertained for the majority of children diagnosed with different learning dysfunctions and not diagnosed, but fighting with existing learning problems, difficulties and weakness.</w:t>
      </w:r>
    </w:p>
    <w:p>
      <w:pPr>
        <w:widowControl w:val="on"/>
        <w:pBdr/>
        <w:spacing w:before="240" w:after="240" w:line="240" w:lineRule="auto"/>
        <w:ind w:left="0" w:right="0"/>
        <w:jc w:val="left"/>
      </w:pPr>
      <w:r>
        <w:rPr>
          <w:color w:val="000000"/>
          <w:sz w:val="24"/>
          <w:szCs w:val="24"/>
        </w:rPr>
        <w:t xml:space="preserve">In my research – essay I attempt to scientifically confirm this assumption/hypothesis, according to which the lack of social competence has an influence on the development of learning dysfunctions.</w:t>
      </w:r>
    </w:p>
    <w:p>
      <w:pPr>
        <w:widowControl w:val="on"/>
        <w:pBdr/>
        <w:spacing w:before="240" w:after="240" w:line="240" w:lineRule="auto"/>
        <w:ind w:left="0" w:right="0"/>
        <w:jc w:val="left"/>
      </w:pPr>
      <w:r>
        <w:rPr>
          <w:color w:val="000000"/>
          <w:sz w:val="24"/>
          <w:szCs w:val="24"/>
        </w:rPr>
        <w:t xml:space="preserve">In the first part of my essay the source work – collection and elaboration of theoretical materials and the theoretical substantiation shall be represented. I clarify the place of social competence in the system of key competences and the competences of the personality. I describe the definition, the development and the possible effects of its absence. Afterwards I represent the learning dysfunction, its determination, reasons, types and features.</w:t>
      </w:r>
    </w:p>
    <w:p>
      <w:pPr>
        <w:widowControl w:val="on"/>
        <w:pBdr/>
        <w:spacing w:before="240" w:after="240" w:line="240" w:lineRule="auto"/>
        <w:ind w:left="0" w:right="0"/>
        <w:jc w:val="left"/>
      </w:pPr>
      <w:r>
        <w:rPr>
          <w:color w:val="000000"/>
          <w:sz w:val="24"/>
          <w:szCs w:val="24"/>
        </w:rPr>
        <w:t xml:space="preserve">During my research I have examined the social competence of the primary school pupils of two elementary schools, then I have analysed the role of its absence concerning learning and behaviour. On the one hand in a school, where the pupils arrive from an extremely variable sociocultural location: from two maternity homes, youth detention networks, families with one or two parents. Among the pupils of this school different kinds of deficiency can be experienced on the area of social competences, even due to the continuous change of the living circumstances of the pupils and “wanderings” (changes of maternity homes - continuous change of schools and residences, changes of the foster parents, pending between both parents etc.). On the other hand in a school – as control school – where the pupils arrive from less variable sociocultural medium. According to my assumption here less deficiency can be observed on the area of social competences.</w:t>
      </w:r>
    </w:p>
    <w:p>
      <w:pPr>
        <w:widowControl w:val="on"/>
        <w:pBdr/>
        <w:spacing w:before="240" w:after="240" w:line="240" w:lineRule="auto"/>
        <w:ind w:left="0" w:right="0"/>
        <w:jc w:val="left"/>
      </w:pPr>
      <w:r>
        <w:rPr>
          <w:color w:val="000000"/>
          <w:sz w:val="24"/>
          <w:szCs w:val="24"/>
        </w:rPr>
        <w:t xml:space="preserve">In the second part I have prepared the data collected during the research and the results of observations and interviews respectively, and then I have evaluated the research concerning the pertinence of the hypothesis.</w:t>
      </w:r>
    </w:p>
    <w:p>
      <w:pPr>
        <w:widowControl w:val="on"/>
        <w:pBdr/>
        <w:spacing w:before="240" w:after="240" w:line="240" w:lineRule="auto"/>
        <w:ind w:left="0" w:right="0"/>
        <w:jc w:val="left"/>
      </w:pPr>
      <w:r>
        <w:rPr>
          <w:color w:val="000000"/>
          <w:sz w:val="24"/>
          <w:szCs w:val="24"/>
        </w:rPr>
        <w:t xml:space="preserve">My perspective target about the topic is to expand the research on county, regional or even national level. Further to draw the attention to the importance of social competence by means of these results, which is essential in the multi-dimensional social engagement.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93472">
    <w:multiLevelType w:val="hybridMultilevel"/>
    <w:lvl w:ilvl="0" w:tplc="99222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93472">
    <w:abstractNumId w:val="104934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235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