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TURBÁN LILIÁNA</w:t>
            </w:r>
          </w:p>
          <w:p w:rsidR="00C275A3" w:rsidRDefault="00A96AEC" w:rsidP="00C275A3">
            <w:pPr>
              <w:pStyle w:val="Hallgatokepzes"/>
            </w:pPr>
            <w:r>
              <w:t>pszichológia</w:t>
            </w:r>
            <w:r>
              <w:br/>
            </w:r>
            <w:r w:rsidR="00E77B23">
              <w:t>BA, 6. félév</w:t>
            </w:r>
          </w:p>
          <w:p w:rsidR="00C265CE" w:rsidRPr="009E5FF1" w:rsidRDefault="00E77B23" w:rsidP="00C275A3">
            <w:pPr>
              <w:pStyle w:val="Hallgatokepzes"/>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 Földi Rita</w:t>
            </w:r>
          </w:p>
          <w:p w:rsidR="00DB4822" w:rsidRDefault="00DB4822" w:rsidP="00E11062">
            <w:pPr>
              <w:pStyle w:val="Konzulensek"/>
            </w:pPr>
            <w:r w:rsidRPr="00DB4822">
              <w:t>egyetemi docens, KRE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empátia alakulása hiperaktív gyermekeknél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vizsgálat központi kérdése a hiperaktivitás-figyelemzavarral együtt élő gyermekek empátiás készsége, illetve annak kötődéssel, testvérkapcsolattal való összefüggése volt. Vizsgálatunkat 8-12 éves gyermekek bevonásával végeztük (összesen 38 fő), ahol az egyik csoport ADHD-vel diagnosztizált gyermekekből állt. Mérési módszerünk közé tartozott Bryant (1986) Index of Empathy for Children című tesztjének általunk fordított és előtesztelt magyar változata, illetve kidolgoztunk Strayer (1993) leírásai nyomán egy szituációs feladatot az empátia mérésére.</w:t>
      </w:r>
      <w:r>
        <w:rPr>
          <w:color w:val="000000"/>
          <w:sz w:val="24"/>
          <w:szCs w:val="24"/>
        </w:rPr>
        <w:br/>
        <w:t xml:space="preserve">Eredményeink szerint nem volt szignifikáns eltérés a két csoport között: a kontrollcsoport empátia pontszámai nem voltak magasabbak a hiperaktív csoport átlagainál, ami szemben áll bizonyos korábbi kutatások feltételezésével. A szituációs feladatban a szereplők érzelmének felismerési sikerességét vizsgálva azt találtuk, hogy csoportjaink egyformán sikeresek voltak; eltérést csak az érzelemtípus függvényében találtunk. Az örömöt szignifikánsabban könnyebben észlelték a gyermekek, míg a félelem és a harag differenciálása nehézséget okozhatott számukra. A kontrollcsoportba tartozó lányok könnyebben felismerték a félelem és szomorúság érzelmét, illetve a hiperaktív fiúk értékei a harag esetében a többiekénél alacsonyabbak voltak. A szituációs feladatban kapott empátia-pontszám esetében hasonló eredményekre bukkantunk: a hiperaktív gyermekek ugyanolyan empatikusnak bizonyultak, mint a kontrollcsoport. A legmagasabb pontszámot az öröm esetében találjuk, a legkevésbé pedig a harag érzelmébe helyezkedtek bele a gyermekek. A kérdőíves mérés esetében szintén azt találtuk, hogy a hiperaktív csoport nem különbözött szignifikáns mértékben a kontrollcsoporttól: pontszámuk a kontrollcsoportba tartozó fiúkénál magasabb, a lányokénál alacsonyabb volt. A testvérkapcsolattal való összefüggés esetében a „People In My Life” testvérekre átdolgozott kérdőív „bizalom” és „kommunikáció” alskálái szignifikáns kapcsolatban voltak az empátiás pontszámokkal, akár a kérdőívről, akár a szituációs feladatról volt szó. Elképzelhető, hogy a testvérkapcsolat konfliktusossága, gyengébb minősége (melyet a fent említett kérdőív alapján kimutattunk) jobb közeget biztosít empátiás válaszok kialakulásához.</w:t>
      </w:r>
      <w:r>
        <w:rPr>
          <w:color w:val="000000"/>
          <w:sz w:val="24"/>
          <w:szCs w:val="24"/>
        </w:rPr>
        <w:br/>
        <w:t xml:space="preserve">Eredményeink rámutatnak a vizsgálati terület lehetőségeire. Fontossága abban rejlik, hogy ennek révén hozzásegíthetünk ahhoz, hogy a hiperaktív gyermekek pozitívabb megítélésben részesüljenek, hiszen rávilágít pozitív tulajdonságaikra, készségükre.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58274">
    <w:multiLevelType w:val="hybridMultilevel"/>
    <w:lvl w:ilvl="0" w:tplc="42921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58274">
    <w:abstractNumId w:val="992582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97326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