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HÁTSZEGI</w:t>
            </w:r>
          </w:p>
          <w:p w:rsidR="00C275A3" w:rsidRDefault="00A96AEC" w:rsidP="00C275A3">
            <w:pPr>
              <w:pStyle w:val="Hallgatokepzes"/>
            </w:pPr>
            <w:r>
              <w:t>psychology</w:t>
            </w:r>
            <w:r>
              <w:br/>
            </w:r>
            <w:r w:rsidR="00E77B23">
              <w:t>BA, 6. semester</w:t>
            </w:r>
          </w:p>
          <w:p w:rsidR="00C265CE" w:rsidRPr="009E5FF1" w:rsidRDefault="00E77B23" w:rsidP="00C275A3">
            <w:pPr>
              <w:pStyle w:val="Hallgatokepzes"/>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Zsuzsanna Mirnics</w:t>
            </w:r>
          </w:p>
          <w:p w:rsidR="00DB4822" w:rsidRDefault="00DB4822" w:rsidP="00E11062">
            <w:pPr>
              <w:pStyle w:val="Konzulensek"/>
            </w:pPr>
            <w:r w:rsidRPr="00DB4822">
              <w:t>adjunct professor,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Age gap relationships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research is about age gap relationships, using qualitative and quantitative research methods. Comparing 12 age gap and 10 non-age gap couples, for testing our hipothesis we used a Relationship interview, Common Rorschach Assesment (KRV), Parental Treatment Questionnaire, Giessen test and a Relationship Satisfactory Test. Results show significant difference between groups according to parental treatment, as well as in dominance between the members of the couples. With the benefits of the Common Rorschach Assesment, many details and characteristics became known about the age gap relationships and some new information is obtained.</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t xml:space="preserve">Keywords: age difference, relationship, interaction dynamics, Common Rorschach Assesment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786388">
    <w:multiLevelType w:val="hybridMultilevel"/>
    <w:lvl w:ilvl="0" w:tplc="133627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786388">
    <w:abstractNumId w:val="437863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20522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