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MIRKNÉ HABA ANNA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Mirnics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Ismerjük meg őket!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Online felületen végzett kutatásom a (1) személyiségnek, a (2) középiskolai előéletnek és az (3) egyetemi életformával kapcsolatban kialakításra kerülő új szokásoknak a tanulmányi eredményre gyakorolt hatását vizsgálta. Kiterjedt a tanulással kapcsolatban megélt (4) érzésekre is: flow-, antiflow-élményekre.</w:t>
      </w:r>
      <w:r>
        <w:rPr>
          <w:color w:val="000000"/>
          <w:sz w:val="24"/>
          <w:szCs w:val="24"/>
        </w:rPr>
        <w:br/>
        <w:t xml:space="preserve">A Big Five személyiségvonások közül a lelkiismeretességnek és az akadémiai eredményességgel való együttjárását számos kutatás kimutatta (Digman &amp; Takemoto-Chock, 1981; Smith, 1967), mások a nyitottság meghatározó szerepét hangsúlyozták (Goldstein, 1986; Ryman &amp; Biersner,1975 és Sanders &amp; Vanouzas ,1983). A két vonás együttes hatásáról számolt be Graziano és Ward (1992), valamint Zhang (2002). Burris (1976) az extraverziónak, mint általános aktivitási szintet jelző mutatónak a hatását mutatta ki. Konig és mtársai (2012) a személyiségvonások mellett intelligenciát, tanulással kapcsolatos viselkedési jegyeket is vizsgáltak. Regresszióanalízissel kapott sorrend: tanulási aktivitás, korábbi (középiskolai) tanulmányi eredmények, lelkiismeretesség és a verbális készség. Conard (2006) szerint a kurzusokon való részvétel és a lelkiismeretesség az előmenetel legjobb bejóslója.</w:t>
      </w:r>
      <w:r>
        <w:rPr>
          <w:color w:val="000000"/>
          <w:sz w:val="24"/>
          <w:szCs w:val="24"/>
        </w:rPr>
        <w:br/>
        <w:t xml:space="preserve">Csíkszentmihályi (2010) a flow-élmények meghatározó szerepére mutat rá a tehetség kibontakoztatásában. Ullén és mtársai (2012) a flow-élményre való képességnek a neuroticizmussal negatív, a lelkiismeretességgel való pozitív együttjárásáról számolnak be.</w:t>
      </w:r>
      <w:r>
        <w:rPr>
          <w:color w:val="000000"/>
          <w:sz w:val="24"/>
          <w:szCs w:val="24"/>
        </w:rPr>
        <w:br/>
        <w:t xml:space="preserve">Lelkiismeretesség és nyitottság BF-értékeikben szignifikánsan eltértek egymástól a gyenge/közepes/jó tanulmányi eredményű hallgatói csoportok. Megélt flow és szorongás élményeikben is meghatározóak a különbségek.</w:t>
      </w:r>
      <w:r>
        <w:rPr>
          <w:color w:val="000000"/>
          <w:sz w:val="24"/>
          <w:szCs w:val="24"/>
        </w:rPr>
        <w:br/>
        <w:t xml:space="preserve">Középiskolából hozott tananyagbeli tudás szerepe mérsékelt: a diákok harmada ugyanabba az átlag-intervallumba (3,51 -4,00) tartozik, bármilyen tárgyi tudással érkezett is a felsőoktatásba. A kezdeti tudásnak a jó eredmények elérésénél van szerepe: 4 feletti, főleg jeles átlag elérése sokkal valószínűbb magasabb tudásszintről indulva. A középiskolai tanulási szokás szerepe viszont meghatározó a. Akiknék szokás volt a tanulás nagy valószínűséggel hozzák a tőlük elvárható eredményeket. Legveszélyeztetebb a középiskolában az eszükből megélő, órán figyelelő, de nem tanuló csoport.</w:t>
      </w:r>
      <w:r>
        <w:rPr>
          <w:color w:val="000000"/>
          <w:sz w:val="24"/>
          <w:szCs w:val="24"/>
        </w:rPr>
        <w:br/>
        <w:t xml:space="preserve">Egyetemi léttel kapcsolatban kialakításra kerülő új szokások közül a mindenhová eljáró óralátogatás, a kötelezettségek és a szabadidő tervezéssel történő beosztása jár jó tanulmányi átlaggal.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22473">
    <w:multiLevelType w:val="hybridMultilevel"/>
    <w:lvl w:ilvl="0" w:tplc="76940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22473">
    <w:abstractNumId w:val="841224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695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