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HABA MIRK</w:t>
            </w:r>
          </w:p>
          <w:p w:rsidR="00C275A3" w:rsidRDefault="00A96AEC" w:rsidP="00C275A3">
            <w:pPr>
              <w:pStyle w:val="Hallgatokepzes"/>
            </w:pPr>
            <w:r>
              <w:t>psychology</w:t>
            </w:r>
            <w:r>
              <w:br/>
            </w:r>
            <w:r w:rsidR="00E77B23">
              <w:t>BA, 6.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Mirnics</w:t>
            </w:r>
          </w:p>
          <w:p w:rsidR="00DB4822" w:rsidRDefault="00DB4822" w:rsidP="00E11062">
            <w:pPr>
              <w:pStyle w:val="Konzulensek"/>
            </w:pPr>
            <w:r w:rsidRPr="00DB4822">
              <w:t>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Let us know them!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Present online research investigated the influence of the (1)personality (2) knowing-level and learning habits in the secondary school (3) the new habits connected with the „university student-life” to the scholastic record in higher education. We have asked the students about (4)their flow- and antiflow experiences too.</w:t>
      </w:r>
      <w:r>
        <w:rPr>
          <w:color w:val="000000"/>
          <w:sz w:val="24"/>
          <w:szCs w:val="24"/>
        </w:rPr>
        <w:br/>
        <w:t xml:space="preserve">Several researchers found correlation between academic performance and BigFive-traits. Digman &amp; Takemoto-Chock (1981), Smith ( 1967) showed the role of consciencesness, others (Goldstein, 1986; Ryman &amp; Biersner,1975 és Sanders &amp; Vanouzas ,1983) the openess. Graziano &amp; Ward (1992), and Zhang (2002) pointed out the importance of both. Konig (2012) investigated intelligence and behavior besides BigFive traits. Through multiple regression he got the following order: learning activity, previous(secondary-school) GSP, consciencesness, and verbal ability. According to Conrad (2006) course-attending and consciencesness are the best predictors of the academic performance.</w:t>
      </w:r>
      <w:r>
        <w:rPr>
          <w:color w:val="000000"/>
          <w:sz w:val="24"/>
          <w:szCs w:val="24"/>
        </w:rPr>
        <w:br/>
        <w:t xml:space="preserve">Csíkszentmihályi (2010) pointed the role of flow-experience in case of talented children. Ullén (2012) showed the relationship of neurotizism and consciencesness with the ability of flow-experiences.</w:t>
      </w:r>
      <w:r>
        <w:rPr>
          <w:color w:val="000000"/>
          <w:sz w:val="24"/>
          <w:szCs w:val="24"/>
        </w:rPr>
        <w:br/>
        <w:t xml:space="preserve">The role of knowledge, the students arrive in the higher educatuion with, is not determining: one third of students reaches the interval of 3,51-4,0 as GSP in higher education- independently of their secondary scholactic records. Of course to achieve the best results at the university is easier from an outstanding starting knowladge - in this effect we can say about the influence of knowladge. The important thing is the habit of learning in the earlier years. Those who used to learn in the secondary school –even with a minimal level - have good chance to follow their studies with the same results, as earlier. Those clever students, who could fulfill the secondary requirements with an active participation during the lessons but without learning at home, have a great chance to lose their positions.</w:t>
      </w:r>
      <w:r>
        <w:rPr>
          <w:color w:val="000000"/>
          <w:sz w:val="24"/>
          <w:szCs w:val="24"/>
        </w:rPr>
        <w:br/>
        <w:t xml:space="preserve">One has to built new habits when starting the university studies. He/she has the freedom not to attend reguraly the lessons, not to learn permanantly. Present research point out the importance of the attending each lesson and planning the activities either the learning activities or the leisure-time.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80956">
    <w:multiLevelType w:val="hybridMultilevel"/>
    <w:lvl w:ilvl="0" w:tplc="64656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80956">
    <w:abstractNumId w:val="255809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07644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