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SAGI</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Vass</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Bird's Nest Drawing Analysis of Children Raised in Disadvantaged Areas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sample consisted of 12-16 year old primary school students raised in a disadvantaged area (n=51). After each completing their own Bird’s Nest Drawing (Kaiser, 1996), the Hungarian Junior Eysenck Personality Questionnaire (HJEPQ), the Attachment Style Questionnaire (ASQ), the Parental Bonding Instrument – Hungarian version (H-PBI) and a sociocultural questionnaire created by myself, participants were individually interviewed about their drawing and the story belonging to it. A brief demographical questionnaire aiming to discover their objective family circumstances was also completed during the interview. The analysis of drawings was based on the Bird’s Nest Drawing Criteria 3.1. Version (Hámori &amp; Djuroska, 2010) and on the global analysis (Vass, 2006) of independent judges.</w:t>
      </w:r>
      <w:r>
        <w:rPr>
          <w:color w:val="000000"/>
          <w:sz w:val="24"/>
          <w:szCs w:val="24"/>
        </w:rPr>
        <w:br/>
        <w:t xml:space="preserve">In this study, I intend to draw attention to the advantages and practical use of the projective Bird’s Nest Drawing method, which was developed to assess attachment security. I would particularly like to emphasize the potential of this method for working with children and people lacking faculty of expression. In addition, I aim to reveal correlations between the drawings and the aforementioned tests, so as to examine personalities and attachment security of children raised in disadvantaged areas.</w:t>
      </w:r>
      <w:r>
        <w:rPr>
          <w:color w:val="000000"/>
          <w:sz w:val="24"/>
          <w:szCs w:val="24"/>
        </w:rPr>
        <w:br/>
        <w:t xml:space="preserve">Results indicated significant statistical differences between the HJEPQ and ASQ scores of disadvantaged children and the Hungarian national mean. More significant links were found between certain parts of the drawings – e.g. the attention to detail when drawing the borders of the nest and the wider environment surrounding it, the presence of a protective maternal/paternal figure, and the position and complexity of the nest itself – in relation to the child's sociocultural background and position on certain test scales.</w:t>
      </w:r>
      <w:r>
        <w:rPr>
          <w:color w:val="000000"/>
          <w:sz w:val="24"/>
          <w:szCs w:val="24"/>
        </w:rPr>
        <w:br/>
        <w:t xml:space="preserve">The results of the study indicate that the Bird’s Nest Drawing has the potential to effectively assess attachment security in youth aged 12-16. The methodology used proves useful for working with disadvantaged children, and seems to hold promise for working with people lacking faculty of expression as well.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20179">
    <w:multiLevelType w:val="hybridMultilevel"/>
    <w:lvl w:ilvl="0" w:tplc="13268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20179">
    <w:abstractNumId w:val="558201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151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