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NÉMETH</w:t>
            </w:r>
          </w:p>
          <w:p w:rsidR="00C275A3" w:rsidRDefault="00A96AEC" w:rsidP="00C275A3">
            <w:pPr>
              <w:pStyle w:val="Hallgatokepzes"/>
            </w:pPr>
            <w:r>
              <w:t>special education</w:t>
            </w:r>
            <w:r>
              <w:br/>
            </w:r>
            <w:r w:rsidR="00E77B23">
              <w:t>BA, 8.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Papp dr.</w:t>
            </w:r>
          </w:p>
          <w:p w:rsidR="00DB4822" w:rsidRDefault="00DB4822" w:rsidP="00E11062">
            <w:pPr>
              <w:pStyle w:val="Konzulensek"/>
            </w:pPr>
            <w:r w:rsidRPr="00DB4822">
              <w:t>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Midly mentally handicapped children and their social integration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According to Mária Herczog we have very little information about the professional and pedagogical work being done in children’s homes (Herczog, 2003). In my TDK thesis I attempted to gain knowledge about the views of professionals teaching and taking care of mildly mentally handicapped children living in special children’s homes maintained by professional child protective services on the topic of social integration – focusing on one county of Hungary in particular. I did a thorough evaluation of the subject from various points of view: social involvement, self-sufficiency, career, higher education, employment, interpersonal relationships, housing, lifestyle. I also found it important to explore whether those concerned receive professional help with their work and to what degree and in what way they see their own efforts and those of their institution as beneficial from the perspective of the social integration of the children.</w:t>
      </w:r>
      <w:r>
        <w:rPr>
          <w:color w:val="000000"/>
          <w:sz w:val="24"/>
          <w:szCs w:val="24"/>
        </w:rPr>
        <w:br/>
        <w:t xml:space="preserve">In my selection of the topic my personal motivation played a significant role. I based my observations on information gathered by means of questionaires.</w:t>
      </w:r>
      <w:r>
        <w:rPr>
          <w:color w:val="000000"/>
          <w:sz w:val="24"/>
          <w:szCs w:val="24"/>
        </w:rPr>
        <w:br/>
        <w:t xml:space="preserve">My results show that in many aspects the institutions do reproduce the children’s family environment. Nevertheless the special children’s homes are unable to ensure the extra (in comparison with the family) care they are expected to. Based on the childcare workers’ opinions these special children’s homes are not fit to provide the children with the prospect of a steady future: these institutions cannot provide the necessary help and support in the areas of developing self-sufficiency, social involvement, a healthy lifestyle, housing and employment. Childcare workers receive most professional assistance from child protection authorities (although in some places even this option is not available), and networking on a larger scale (with external experts and institutions) is uncommon. Childcare professionals feel their own role to be primordial to the children’s future.</w:t>
      </w:r>
      <w:r>
        <w:rPr>
          <w:color w:val="000000"/>
          <w:sz w:val="24"/>
          <w:szCs w:val="24"/>
        </w:rPr>
        <w:br/>
        <w:t xml:space="preserve">Although I have encountered a number of limiting factors during my research, I hope my work will achieve its goal: to draw attention to the situation of the mildly mentally handicapped children living in these children’s homes.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2056">
    <w:multiLevelType w:val="hybridMultilevel"/>
    <w:lvl w:ilvl="0" w:tplc="27906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2056">
    <w:abstractNumId w:val="86312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008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