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BOLDIZSÁR NÉMETH</w:t>
            </w:r>
          </w:p>
          <w:p w:rsidR="00C275A3" w:rsidRDefault="00A96AEC" w:rsidP="00C275A3">
            <w:pPr>
              <w:pStyle w:val="Hallgatokepzes"/>
            </w:pPr>
            <w:r>
              <w:t>Software Information Technologist</w:t>
            </w:r>
            <w:r>
              <w:br/>
            </w:r>
            <w:r w:rsidR="00E77B23">
              <w:t>BSc, 6.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Kőhegyi</w:t>
            </w:r>
          </w:p>
          <w:p w:rsidR="00DB4822" w:rsidRDefault="00DB4822" w:rsidP="00E11062">
            <w:pPr>
              <w:pStyle w:val="Konzulensek"/>
            </w:pPr>
            <w:r w:rsidRPr="00DB4822">
              <w:t>master teacher,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approach to algorithm visualization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gives an overview of the Algorithm Visualization (AV) science results achieved to date in the teaching of classical algorithms and algorithmic thinking, software systems created for this purpose and experiments examining the effectiveness of AV.</w:t>
      </w:r>
    </w:p>
    <w:p>
      <w:pPr>
        <w:pBdr/>
        <w:spacing w:before="240" w:after="240" w:line="240" w:lineRule="auto"/>
        <w:ind w:left="0" w:right="0"/>
        <w:jc w:val="left"/>
      </w:pPr>
      <w:r>
        <w:rPr>
          <w:color w:val="000000"/>
          <w:sz w:val="24"/>
          <w:szCs w:val="24"/>
        </w:rPr>
        <w:br/>
        <w:t xml:space="preserve">After the evaluation of the results and the theory of the production of visualizations, we gradually present our new method. This method combines the use and preparation of visualizations by an active participation of the learner, helping him to understand the algorithm and acquire the way of thinking.</w:t>
      </w:r>
    </w:p>
    <w:p>
      <w:pPr>
        <w:pBdr/>
        <w:spacing w:before="240" w:after="240" w:line="240" w:lineRule="auto"/>
        <w:ind w:left="0" w:right="0"/>
        <w:jc w:val="left"/>
      </w:pPr>
      <w:r>
        <w:rPr>
          <w:color w:val="000000"/>
          <w:sz w:val="24"/>
          <w:szCs w:val="24"/>
        </w:rPr>
        <w:br/>
        <w:t xml:space="preserve">In our paper we study the ways of making the visualizations, the actors of this process and their activities, the analysis of the points of view in a visualization, the methods of writing the visualization of an algorithm, and the features that promote the presentation of individual algorithms.</w:t>
      </w:r>
    </w:p>
    <w:p>
      <w:pPr>
        <w:pBdr/>
        <w:spacing w:before="240" w:after="240" w:line="240" w:lineRule="auto"/>
        <w:ind w:left="0" w:right="0"/>
        <w:jc w:val="left"/>
      </w:pPr>
      <w:r>
        <w:rPr>
          <w:color w:val="000000"/>
          <w:sz w:val="24"/>
          <w:szCs w:val="24"/>
        </w:rPr>
        <w:br/>
        <w:t xml:space="preserve">Finally, we present the design principles for the Davik system, which served as a thesis topic. Although the system is not ready to provide you with all the features we thought useful, it proves the feasibility of the proposed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12069">
    <w:multiLevelType w:val="hybridMultilevel"/>
    <w:lvl w:ilvl="0" w:tplc="30131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12069">
    <w:abstractNumId w:val="65212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97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