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VINCZE</w:t>
            </w:r>
          </w:p>
          <w:p w:rsidR="00C275A3" w:rsidRDefault="00A96AEC" w:rsidP="00C275A3">
            <w:pPr>
              <w:pStyle w:val="Hallgatokepzes"/>
            </w:pPr>
            <w:r>
              <w:t>Computer Program Designer BSc</w:t>
            </w:r>
            <w:r>
              <w:br/>
            </w:r>
            <w:r w:rsidR="00E77B23">
              <w:t>BSc, 10.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Fazekas Ph.D.</w:t>
            </w:r>
          </w:p>
          <w:p w:rsidR="00DB4822" w:rsidRDefault="00DB4822" w:rsidP="00E11062">
            <w:pPr>
              <w:pStyle w:val="Konzulensek"/>
            </w:pPr>
            <w:r w:rsidRPr="00DB4822">
              <w:t>associate professor, DE IK</w:t>
            </w:r>
          </w:p>
        </w:tc>
      </w:tr>
      <w:tr w:rsidR="00DB4822" w:rsidTr="00DB4822">
        <w:tc>
          <w:tcPr>
            <w:tcW w:w="9854" w:type="dxa"/>
          </w:tcPr>
          <w:p w:rsidR="00DB4822" w:rsidRPr="00DB4822" w:rsidRDefault="00DB4822" w:rsidP="004D7940">
            <w:pPr>
              <w:pStyle w:val="Konzulensek"/>
            </w:pPr>
            <w:r w:rsidRPr="00DB4822">
              <w:t>László Csernoch Ph.D.</w:t>
            </w:r>
          </w:p>
          <w:p w:rsidR="00DB4822" w:rsidRDefault="00DB4822" w:rsidP="00E11062">
            <w:pPr>
              <w:pStyle w:val="Konzulensek"/>
            </w:pPr>
            <w:r w:rsidRPr="00DB4822">
              <w:t>professor,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alogorithms for the complete analysis of two dimensional timeseries calcium signals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Calcium ions play an important role in the regulation of several processes in living organisms. The concentration of these ions can be determined in real-time by using calcium-binding fluorescent dyes, whose quantum yield depends on the binding to calcium ions, so the intensity of the fluorescence is proportional to the calcium concentration. Using modern imaging techniques records of high temporal and spatial resolution can be obtained, the analysis of which necessitates computational methods.</w:t>
      </w:r>
      <w:r>
        <w:rPr>
          <w:color w:val="000000"/>
          <w:sz w:val="24"/>
          <w:szCs w:val="24"/>
        </w:rPr>
        <w:br/>
        <w:t xml:space="preserve">In my work algorithms are presented that I developed to analyse timeseries calcium signals obtained in three research fields. In all three cases timeseries records with two spatial dimensions were to be analysed.</w:t>
      </w:r>
      <w:r>
        <w:rPr>
          <w:color w:val="000000"/>
          <w:sz w:val="24"/>
          <w:szCs w:val="24"/>
        </w:rPr>
        <w:br/>
        <w:t xml:space="preserve">The first of the algorithms I developed is being used in the field of neurophysiology. A brain slice containing several cells is analysed, where the computational task is to demark cells showing activity and to determine the cell type based on the type of activity. In order to identify regions of interest (ROI), timeseries data for each pixel was analysed using the double-thresholding method described in my work. Using this method ROIs were identified with an accuracy of more than 90%. In order to determine the type of the cell corresponding to the ROI I developed a neural network, which determined the type with 98% accuracy.</w:t>
      </w:r>
      <w:r>
        <w:rPr>
          <w:color w:val="000000"/>
          <w:sz w:val="24"/>
          <w:szCs w:val="24"/>
        </w:rPr>
        <w:br/>
        <w:t xml:space="preserve">The goal of the second algorithm was to analyse high-speed confocal recordings containing elementary calcium release events. At first this algorithm also identifies ROIs, then determines their parameters. An important feature is to determine the cellular structure and the spatial alignment of the ROI relatively to the cellular structure. Calcium events are identified with an accuracy of over 90%.</w:t>
      </w:r>
      <w:r>
        <w:rPr>
          <w:color w:val="000000"/>
          <w:sz w:val="24"/>
          <w:szCs w:val="24"/>
        </w:rPr>
        <w:br/>
        <w:t xml:space="preserve">The third algorithm was developed to identify epithelial cells featuring spontaneous calcium release events. Individual cells were marked manually for each record, but events could only be identified reliably using an automatic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96612">
    <w:multiLevelType w:val="hybridMultilevel"/>
    <w:lvl w:ilvl="0" w:tplc="49359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96612">
    <w:abstractNumId w:val="934966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59895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