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ZOLTÁN</w:t>
            </w:r>
          </w:p>
          <w:p w:rsidR="00C275A3" w:rsidRDefault="00A96AEC" w:rsidP="00C275A3">
            <w:pPr>
              <w:pStyle w:val="Hallgatokepzes"/>
            </w:pPr>
            <w:r>
              <w:t>Építőmérnöki</w:t>
            </w:r>
            <w:r>
              <w:br/>
            </w:r>
            <w:r w:rsidR="00E77B23">
              <w:t>BSc, 3. félév</w:t>
            </w:r>
          </w:p>
          <w:p w:rsidR="00C265CE" w:rsidRPr="009E5FF1" w:rsidRDefault="00E77B23" w:rsidP="00C275A3">
            <w:pPr>
              <w:pStyle w:val="Hallgatokepzes"/>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Szép János</w:t>
            </w:r>
          </w:p>
          <w:p w:rsidR="00DB4822" w:rsidRDefault="00DB4822" w:rsidP="00E11062">
            <w:pPr>
              <w:pStyle w:val="Konzulensek"/>
            </w:pPr>
            <w:r w:rsidRPr="00DB4822">
              <w:t>egyetemi adjunktus,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Épületek célszerű szerkezeti kialakítása földrengésből származó terhelésre - Feladatok, együttműködés az építő és építészmérnöki munkában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Tartószerkezetek tervezésben jelenleg hazánkban is az Európai Unióban egységesen elfogadott Eurocode szabványsorozat van érvényben. A szabványsorozat bevezetésére 2011. január 1-én került sor. Az Eurocode szabvány egy különálló fejezetben foglalkozik az építmények földrengésre történő tervezésével, ezek alapján gyakorlatilag minden épületünk földrengési teherre történő tervezése/ellenőrzése szükséges. A korábban érvényben lévő szabvány (MSZ), csak kiemelt jelentőségű épületek esetén írta elő a földrengéssel szembeni méretezést, ebből adódóan a téma a Magyarországon csak kevesek által ismert, hazánkban nincs hagyománya az ilyen jellegű tervezésnek.</w:t>
      </w:r>
    </w:p>
    <w:p>
      <w:pPr>
        <w:widowControl w:val="on"/>
        <w:pBdr/>
        <w:spacing w:before="240" w:after="240" w:line="240" w:lineRule="auto"/>
        <w:ind w:left="0" w:right="0"/>
        <w:jc w:val="left"/>
      </w:pPr>
      <w:r>
        <w:rPr>
          <w:color w:val="000000"/>
          <w:sz w:val="24"/>
          <w:szCs w:val="24"/>
        </w:rPr>
        <w:t xml:space="preserve">Az épületek földrengésre való vizsgálata nem csak tartószerkezeti, hanem építész feladat is. Az építészeti koncepció jelentősen meghatározza a méretezés bonyolultságát, a szerkezetkialakítás gazdaságosságát. Az építész és a szerkezettervező mérnök együttdolgozása, közös gondolkodása, szerkezetválasztása, jelentősen leegyszerűsítheti a földrengésre történő tervezés problematikáját, anélkül, hogy az építész alkotói szabadsága csorbulna. Egy kedvezőtlen épületkialakítás a bonyolult számítások ellenére is gazdaságtalan építéshez vezethet.</w:t>
      </w:r>
    </w:p>
    <w:p>
      <w:pPr>
        <w:widowControl w:val="on"/>
        <w:pBdr/>
        <w:spacing w:before="240" w:after="240" w:line="240" w:lineRule="auto"/>
        <w:ind w:left="0" w:right="0"/>
        <w:jc w:val="left"/>
      </w:pPr>
      <w:r>
        <w:rPr>
          <w:color w:val="000000"/>
          <w:sz w:val="24"/>
          <w:szCs w:val="24"/>
        </w:rPr>
        <w:t xml:space="preserve">Dolgozatom célja az épületek célszerű szerkezeti kialakításának bemutatása földrengés teherrel szembeni ellenállás szempontjából. Ez mind az építő-, mind az építészmérnökök számára már a tervezés korai szakaszában nagy jelentőséggel bír, amikor is az alapvető formai és szerkezeti megoldások felmerülnek.</w:t>
      </w:r>
    </w:p>
    <w:p>
      <w:pPr>
        <w:widowControl w:val="on"/>
        <w:pBdr/>
        <w:spacing w:before="240" w:after="240" w:line="240" w:lineRule="auto"/>
        <w:ind w:left="0" w:right="0"/>
        <w:jc w:val="left"/>
      </w:pPr>
      <w:r>
        <w:rPr>
          <w:color w:val="000000"/>
          <w:sz w:val="24"/>
          <w:szCs w:val="24"/>
        </w:rPr>
        <w:t xml:space="preserve">A dolgozat további célja, olyan optimális szerkezetkialakítási irányelvek bemutatása, melyek alkalmazásával, az esetlegesen bekövetkező fölrengések esetén, azon az alapvető követelményen túl, hogy emberélet ne kerüljön veszélybe, az épület károsodása is minimális legyen, további használhatósága csekély anyagi ráfordítással biztosítható legyen.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77075">
    <w:multiLevelType w:val="hybridMultilevel"/>
    <w:lvl w:ilvl="0" w:tplc="75266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77075">
    <w:abstractNumId w:val="914770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120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