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STANCIG</w:t>
            </w:r>
          </w:p>
          <w:p w:rsidR="00C275A3" w:rsidRDefault="00A96AEC" w:rsidP="00C275A3">
            <w:pPr>
              <w:pStyle w:val="Hallgatokepzes"/>
            </w:pPr>
            <w:r>
              <w:t>jurist</w:t>
            </w:r>
            <w:r>
              <w:br/>
            </w:r>
            <w:r w:rsidR="00E77B23">
              <w:t>Unified, 10.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Eszter Jungi, Dr.</w:t>
            </w:r>
          </w:p>
          <w:p w:rsidR="00DB4822" w:rsidRDefault="00DB4822" w:rsidP="00E11062">
            <w:pPr>
              <w:pStyle w:val="Konzulensek"/>
            </w:pPr>
            <w:r w:rsidRPr="00DB4822">
              <w:t>judge,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Fight against the significant amount of drugs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Drug-related crime is a social problem in Hungary. Starting with the effort of the families, schools, doctors to criminal law as the „ultima ratio”, the battle against narcotic consumption must run parallel with the battle against the other side of the drug-market: the traffickers and dealers. Supply reduction must be a high priority objective for the law enforcement agencies, because that can make state intervention effective, with the penal law’s tools. Taking action on drug traffickers, dealers, drug production and cultivation, cutting resources of the significant amount of drugs – that’s a hard strike against the drug market.</w:t>
      </w:r>
    </w:p>
    <w:p>
      <w:pPr>
        <w:pBdr/>
        <w:spacing w:before="240" w:after="240" w:line="240" w:lineRule="auto"/>
        <w:ind w:left="0" w:right="0"/>
        <w:jc w:val="left"/>
      </w:pPr>
      <w:r>
        <w:rPr>
          <w:color w:val="000000"/>
          <w:sz w:val="24"/>
          <w:szCs w:val="24"/>
        </w:rPr>
        <w:t xml:space="preserve">From this point of view in my essay, I made an in-depth analysis on crimes with significant amount of drugs. I followed the investigation and the production of evidence, demonstrated the characteristics of a drug-related criminal procedure, the secret investigation, and the work of forensic experts. I searched through legally binding criminal cases in Győr-Moson-Sopron County, Hungary, and I called attention to practical problems, difficulties of the dispensation of justice, and I drew the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454561">
    <w:multiLevelType w:val="hybridMultilevel"/>
    <w:lvl w:ilvl="0" w:tplc="286187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454561">
    <w:abstractNumId w:val="37454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161265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