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MATE TRENYISAN</w:t>
            </w:r>
          </w:p>
          <w:p w:rsidR="00C275A3" w:rsidRDefault="00A96AEC" w:rsidP="00C275A3">
            <w:pPr>
              <w:pStyle w:val="Hallgatokepzes"/>
            </w:pPr>
            <w:r>
              <w:t>Law</w:t>
            </w:r>
            <w:r>
              <w:br/>
            </w:r>
            <w:r w:rsidR="00E77B23">
              <w:t>Unified, 6.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Akos Kohidi</w:t>
            </w:r>
          </w:p>
          <w:p w:rsidR="00DB4822" w:rsidRDefault="00DB4822" w:rsidP="00E11062">
            <w:pPr>
              <w:pStyle w:val="Konzulensek"/>
            </w:pPr>
            <w:r w:rsidRPr="00DB4822">
              <w:t>professor’s assistant,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Problems of Regulating Defective Compliance in the light of Practice of Law</w:t>
      </w:r>
    </w:p>
    <w:p w:rsidR="00D71DF5" w:rsidRDefault="00D71DF5" w:rsidP="00AD2602">
      <w:pPr>
        <w:jc w:val="both"/>
      </w:pPr>
    </w:p>
    <w:p>
      <w:pPr>
        <w:pBdr/>
        <w:spacing w:before="240" w:after="240" w:line="240" w:lineRule="auto"/>
        <w:ind w:left="0" w:right="0"/>
        <w:jc w:val="left"/>
      </w:pPr>
      <w:r>
        <w:rPr>
          <w:color w:val="000000"/>
          <w:sz w:val="24"/>
          <w:szCs w:val="24"/>
        </w:rPr>
        <w:t xml:space="preserve">In my study I am engaged with an ever-present topic of the law of obligations and within it, the breach of contract: the questions concerning the practice of law which arise in connection with the regulation of defective compliance. After close observation of the last few decades it could be said that many questions emerged in connection with the domestic regulation of defective compliance for which the practice of courts did not manage to give definite and standard-like answers. This fact induced my idea that it could prove useful and necessary to write a study and do a research which attempts to provide review, summary and maybe answers for all the disputable questions that makes application of law in this field difficult – what is more, even the voluntary compliance with the law of the parties. The actuality of my study is further increased by the codification of the new Civil Code which offers alternatives for regulation different from the Civil Code currently in force for numerous questions (observed in my study as well).</w:t>
      </w:r>
    </w:p>
    <w:p>
      <w:pPr>
        <w:pBdr/>
        <w:spacing w:before="240" w:after="240" w:line="240" w:lineRule="auto"/>
        <w:ind w:left="0" w:right="0"/>
        <w:jc w:val="left"/>
      </w:pPr>
      <w:r>
        <w:rPr>
          <w:color w:val="000000"/>
          <w:sz w:val="24"/>
          <w:szCs w:val="24"/>
        </w:rPr>
        <w:br/>
        <w:t xml:space="preserve">The study – after general thoughts on defective compliance – presents those disputed questions which generates difficulties during application of law. These chapters begin with the presentation of laws related to the relevant question and are followed by a detailed and revealing excursus related to disputable problems. The examination of the questions of interpretation of the law begins in the third part of the study.</w:t>
      </w:r>
    </w:p>
    <w:p>
      <w:pPr>
        <w:pBdr/>
        <w:spacing w:before="240" w:after="240" w:line="240" w:lineRule="auto"/>
        <w:ind w:left="0" w:right="0"/>
        <w:jc w:val="left"/>
      </w:pPr>
      <w:r>
        <w:rPr>
          <w:color w:val="000000"/>
          <w:sz w:val="24"/>
          <w:szCs w:val="24"/>
        </w:rPr>
        <w:br/>
        <w:t xml:space="preserve">First, I present the problems emerging in connection with the calculation and meeting of deadlines. Following this, I deal with the questions of evidence and later, with the other disputed questions which cannot be included into a single, distinguished group. Finally, I present the relationship between recompense and warranty. In the end of each part, I present my own opinion and occasionally, my recommendations for development. In the seventh part I summarise all the results I have concluded in the study by which I present my final point of view and conclusion regarding the examined topic.</w:t>
      </w:r>
    </w:p>
    <w:p>
      <w:pPr>
        <w:pBdr/>
        <w:spacing w:before="240" w:after="240" w:line="240" w:lineRule="auto"/>
        <w:ind w:left="0" w:right="0"/>
        <w:jc w:val="left"/>
      </w:pPr>
      <w:r>
        <w:rPr>
          <w:color w:val="000000"/>
          <w:sz w:val="24"/>
          <w:szCs w:val="24"/>
        </w:rPr>
        <w:br/>
        <w:t xml:space="preserve">In my work I present the directions and effects of many domestic laws, statements, recommendations, principal decisions and EU directives; furthermore, in order to increase the value of the study I implemented many relevant verdicts of the cases before the courts and I used their experience during my examinations.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308396">
    <w:multiLevelType w:val="hybridMultilevel"/>
    <w:lvl w:ilvl="0" w:tplc="747408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308396">
    <w:abstractNumId w:val="133083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26148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