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TRENYISÁN MÁTÉ</w:t>
            </w:r>
          </w:p>
          <w:p w:rsidR="00C275A3" w:rsidRDefault="00A96AEC" w:rsidP="00C275A3">
            <w:pPr>
              <w:pStyle w:val="Hallgatokepzes"/>
            </w:pPr>
            <w:r>
              <w:t>Jogász</w:t>
            </w:r>
            <w:r>
              <w:br/>
            </w:r>
            <w:r w:rsidR="00E77B23">
              <w:t>Osztatlan, 6.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Kőhidi Ákos</w:t>
            </w:r>
          </w:p>
          <w:p w:rsidR="00DB4822" w:rsidRDefault="00DB4822" w:rsidP="00E11062">
            <w:pPr>
              <w:pStyle w:val="Konzulensek"/>
            </w:pPr>
            <w:r w:rsidRPr="00DB4822">
              <w:t>egyetemi tanársegéd,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hibás teljesítés szabályozásának problémái a joggyakorlat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dolgozatomban a kötelmi jog és azon belül a szerződésszegés egy mindig aktuális témájával, a hibás teljesítés szabályozásában felmerülő jogalkalmazási kérdésekkel foglalkozom. Az elmúlt néhány évtized tükrében kijelenthető, hogy a hibás teljesítés hazai szabályozása körében számos olyan kérdés merült fel, amelyre a bírói gyakorlat nem tudott egyértelműen és egységesen válaszolni. Ez a tény indukálta azon elképzelésemet, hogy hasznos és szükséges lehet egy olyan dolgozat elkészítése és egy olyan kutatás elvégzése, amely megkísérel ismertetést, áttekintést, és esetlegesen választ adni mindazon vitára okot adó kérdésre, amelyek e területen a jogalkalmazást - sőt akár a felek önkéntes jogkövetését és jogkeresését is - megnehezítik. A dolgozatom aktualitását csak tovább növeli az új Ptk. kodifikációja, amely számos - a dolgozatban is vizsgált - kérdésre kínál a jelenleg hatályos Ptk.-tól eltérő szabályozási alternatívát.</w:t>
      </w:r>
    </w:p>
    <w:p>
      <w:pPr>
        <w:widowControl w:val="on"/>
        <w:pBdr/>
        <w:spacing w:before="240" w:after="240" w:line="240" w:lineRule="auto"/>
        <w:ind w:left="0" w:right="0"/>
        <w:jc w:val="left"/>
      </w:pPr>
      <w:r>
        <w:rPr>
          <w:color w:val="000000"/>
          <w:sz w:val="24"/>
          <w:szCs w:val="24"/>
        </w:rPr>
        <w:t xml:space="preserve">A dolgozat a hibás teljesítésre vonatkozó általános gondolatokat követően azon vitás kérdéseket mutatja be, amelyek a jogalkalmazás során nehézséget jelentenek. Ezen fejezetek a vonatkozó kérdéshez kötődő jogszabályok ismertetésével kezdődnek, majd ezt követi a részletező és kibontó fejtegetés a vitára okot adó problémákhoz kötve. A dolgozat harmadik szerkezeti egységétől kezdődik a jogértelmezési kérdések vizsgálata.</w:t>
      </w:r>
    </w:p>
    <w:p>
      <w:pPr>
        <w:widowControl w:val="on"/>
        <w:pBdr/>
        <w:spacing w:before="240" w:after="240" w:line="240" w:lineRule="auto"/>
        <w:ind w:left="0" w:right="0"/>
        <w:jc w:val="left"/>
      </w:pPr>
      <w:r>
        <w:rPr>
          <w:color w:val="000000"/>
          <w:sz w:val="24"/>
          <w:szCs w:val="24"/>
        </w:rPr>
        <w:t xml:space="preserve">Először a határidők számításával és érvényesülésével kapcsolatban felmerülő problémákat ismertetem. Ezt követően a bizonyítási kérdésekkel, majd az egyetlen szerves egységbe nem foglalható egyéb vitás kérdésekkel foglalkozom.Végül pedig a kártérítés és a szavatosság egymáshoz való viszonyát mutatom be. A szerkezeti egységek végén a saját álláspontom jelenik meg és az esetlegesen felmerülő előremutató javaslataim. A hetedik szerkezeti egységben a dolgozat írása során levont következtetések összegző gondolatokkal való ismertetése jelenik meg, mellyel a végső álláspontom és konklúzióm ismertetem a vizsgált témakörben.</w:t>
      </w:r>
    </w:p>
    <w:p>
      <w:pPr>
        <w:widowControl w:val="on"/>
        <w:pBdr/>
        <w:spacing w:before="240" w:after="240" w:line="240" w:lineRule="auto"/>
        <w:ind w:left="0" w:right="0"/>
        <w:jc w:val="left"/>
      </w:pPr>
      <w:r>
        <w:rPr>
          <w:color w:val="000000"/>
          <w:sz w:val="24"/>
          <w:szCs w:val="24"/>
        </w:rPr>
        <w:t xml:space="preserve">A munkám során számos hazai jogszabály, állásfoglalás, ajánlás, elvi döntés, és uniós irányelv rendelkezéseit és annak gyakorlati érvényesülését mutatom be, továbbá a dolgozat értékét növelendő bírói esetjog számos releváns ítéletét implementáltam és azok tapasztalatait felhasználtam elemzéseim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24987">
    <w:multiLevelType w:val="hybridMultilevel"/>
    <w:lvl w:ilvl="0" w:tplc="12035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24987">
    <w:abstractNumId w:val="12324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620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