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MATE TRENYISAN</w:t>
            </w:r>
          </w:p>
          <w:p w:rsidR="00C275A3" w:rsidRDefault="00A96AEC" w:rsidP="00C275A3">
            <w:pPr>
              <w:pStyle w:val="Hallgatokepzes"/>
            </w:pPr>
            <w:r>
              <w:t>Law</w:t>
            </w:r>
            <w:r>
              <w:br/>
            </w:r>
            <w:r w:rsidR="00E77B23">
              <w:t>Unified, 6.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Akos Kohidi</w:t>
            </w:r>
          </w:p>
          <w:p w:rsidR="00DB4822" w:rsidRDefault="00DB4822" w:rsidP="00E11062">
            <w:pPr>
              <w:pStyle w:val="Konzulensek"/>
            </w:pPr>
            <w:r w:rsidRPr="00DB4822">
              <w:t>professor’s assistant,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Problems of Regulating Defective Compliance in the light of Practice of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study I am engaged with an ever-present topic of the law of obligations and within it, the breach of contract: the questions concerning the practice of law which arise in connection with the regulation of defective compliance. After close observation of the last few decades it could be said that many questions emerged in connection with the domestic regulation of defective compliance for which the practice of courts did not manage to give definite and standard-like answers. This fact induced my idea that it could prove useful and necessary to write a study and do a research which attempts to provide review, summary and maybe answers for all the disputable questions that makes application of law in this field difficult – what is more, even the voluntary compliance with the law of the parties. The actuality of my study is further increased by the codification of the new Civil Code which offers alternatives for regulation different from the Civil Code currently in force for numerous questions (observed in my study as well).</w:t>
      </w:r>
    </w:p>
    <w:p>
      <w:pPr>
        <w:widowControl w:val="on"/>
        <w:pBdr/>
        <w:spacing w:before="240" w:after="240" w:line="240" w:lineRule="auto"/>
        <w:ind w:left="0" w:right="0"/>
        <w:jc w:val="left"/>
      </w:pPr>
      <w:r>
        <w:rPr>
          <w:color w:val="000000"/>
          <w:sz w:val="24"/>
          <w:szCs w:val="24"/>
        </w:rPr>
        <w:br/>
        <w:t xml:space="preserve">The study – after general thoughts on defective compliance – presents those disputed questions which generates difficulties during application of law. These chapters begin with the presentation of laws related to the relevant question and are followed by a detailed and revealing excursus related to disputable problems. The examination of the questions of interpretation of the law begins in the third part of the study.</w:t>
      </w:r>
    </w:p>
    <w:p>
      <w:pPr>
        <w:widowControl w:val="on"/>
        <w:pBdr/>
        <w:spacing w:before="240" w:after="240" w:line="240" w:lineRule="auto"/>
        <w:ind w:left="0" w:right="0"/>
        <w:jc w:val="left"/>
      </w:pPr>
      <w:r>
        <w:rPr>
          <w:color w:val="000000"/>
          <w:sz w:val="24"/>
          <w:szCs w:val="24"/>
        </w:rPr>
        <w:br/>
        <w:t xml:space="preserve">First, I present the problems emerging in connection with the calculation and meeting of deadlines. Following this, I deal with the questions of evidence and later, with the other disputed questions which cannot be included into a single, distinguished group. Finally, I present the relationship between recompense and warranty. In the end of each part, I present my own opinion and occasionally, my recommendations for development. In the seventh part I summarise all the results I have concluded in the study by which I present my final point of view and conclusion regarding the examined topic.</w:t>
      </w:r>
    </w:p>
    <w:p>
      <w:pPr>
        <w:widowControl w:val="on"/>
        <w:pBdr/>
        <w:spacing w:before="240" w:after="240" w:line="240" w:lineRule="auto"/>
        <w:ind w:left="0" w:right="0"/>
        <w:jc w:val="left"/>
      </w:pPr>
      <w:r>
        <w:rPr>
          <w:color w:val="000000"/>
          <w:sz w:val="24"/>
          <w:szCs w:val="24"/>
        </w:rPr>
        <w:br/>
        <w:t xml:space="preserve">In my work I present the directions and effects of many domestic laws, statements, recommendations, principal decisions and EU directives; furthermore, in order to increase the value of the study I implemented many relevant verdicts of the cases before the courts and I used their experience during my examinations.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47375">
    <w:multiLevelType w:val="hybridMultilevel"/>
    <w:lvl w:ilvl="0" w:tplc="211172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47375">
    <w:abstractNumId w:val="871473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63618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