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BUSA</w:t>
            </w:r>
          </w:p>
          <w:p w:rsidR="00C275A3" w:rsidRDefault="00A96AEC" w:rsidP="00C275A3">
            <w:pPr>
              <w:pStyle w:val="Hallgatokepzes"/>
            </w:pPr>
            <w:r>
              <w:t>lawyer</w:t>
            </w:r>
            <w:r>
              <w:br/>
            </w:r>
            <w:r w:rsidR="00E77B23">
              <w:t>Unified, 4.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Deli LL.M (NYU)</w:t>
            </w:r>
          </w:p>
          <w:p w:rsidR="00DB4822" w:rsidRDefault="00DB4822" w:rsidP="00E11062">
            <w:pPr>
              <w:pStyle w:val="Konzulensek"/>
            </w:pPr>
            <w:r w:rsidRPr="00DB4822">
              <w:t>assistant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Orphan works or the odd one out in copyright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study is the examination of the licensing system concerning orphan works.</w:t>
      </w:r>
    </w:p>
    <w:p>
      <w:pPr>
        <w:pBdr/>
        <w:spacing w:before="240" w:after="240" w:line="240" w:lineRule="auto"/>
        <w:ind w:left="0" w:right="0"/>
        <w:jc w:val="left"/>
      </w:pPr>
      <w:r>
        <w:rPr>
          <w:color w:val="000000"/>
          <w:sz w:val="24"/>
          <w:szCs w:val="24"/>
        </w:rPr>
        <w:t xml:space="preserve">The legislation concerning orphan works forms a particular part within copyright law. The study demonstrates the specialities of the legislation in question, and defines the orphan works’ place in copyright law.</w:t>
      </w:r>
    </w:p>
    <w:p>
      <w:pPr>
        <w:pBdr/>
        <w:spacing w:before="240" w:after="240" w:line="240" w:lineRule="auto"/>
        <w:ind w:left="0" w:right="0"/>
        <w:jc w:val="left"/>
      </w:pPr>
      <w:r>
        <w:rPr>
          <w:color w:val="000000"/>
          <w:sz w:val="24"/>
          <w:szCs w:val="24"/>
        </w:rPr>
        <w:t xml:space="preserve">Next the study propounds two problems that are little reflected in legal literature – the connection between orphan works and adaptation as well as plagiarism.</w:t>
      </w:r>
    </w:p>
    <w:p>
      <w:pPr>
        <w:pBdr/>
        <w:spacing w:before="240" w:after="240" w:line="240" w:lineRule="auto"/>
        <w:ind w:left="0" w:right="0"/>
        <w:jc w:val="left"/>
      </w:pPr>
      <w:r>
        <w:rPr>
          <w:color w:val="000000"/>
          <w:sz w:val="24"/>
          <w:szCs w:val="24"/>
        </w:rPr>
        <w:t xml:space="preserve">The study explores the insufficiencies of the current licensing system, than argues in favor the statement that the current legislation means the highest protection level that is currently achievable for orphan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85924">
    <w:multiLevelType w:val="hybridMultilevel"/>
    <w:lvl w:ilvl="0" w:tplc="94808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85924">
    <w:abstractNumId w:val="32185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778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