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comparing of Hungarian and English feudalism between the XI and XIII centuries with special emphasis on land ownership law</w:t>
      </w:r>
    </w:p>
    <w:p w:rsidR="00D71DF5" w:rsidRDefault="00D71DF5" w:rsidP="00AD2602">
      <w:pPr>
        <w:jc w:val="both"/>
      </w:pPr>
    </w:p>
    <w:p>
      <w:pPr>
        <w:pBdr/>
        <w:spacing w:before="240" w:after="240" w:line="240" w:lineRule="auto"/>
        <w:ind w:left="0" w:right="0"/>
        <w:jc w:val="left"/>
      </w:pPr>
      <w:r>
        <w:rPr>
          <w:color w:val="000000"/>
          <w:sz w:val="24"/>
          <w:szCs w:val="24"/>
        </w:rPr>
        <w:t xml:space="preserve">There are two laws in it’s own rights, the english and the hungarian – states Béni Grosschmid. And by that he means that the law system of these two countries evolved through separate growth – the Roman Law did not have much of an impact on it. In his work Werbőczy és az angol jog he compares the english law system of the XIX century with the institutions of Werbőczy’s Tripartium. In his dissect regarding land ownership law he states that the english law of the late XIX century is more similar to that of Werbőczy’s, than our own. Frederick Polock writes regarding this system that „it is customary to call the english system a feudal system.” It can be seen mostly in the strong effects of old customs, because the english are strongly hold onto the old ways of law. A perfect example for this is the city of London which had to give a certain number of horseshoe and cog to the crown in the days preceding Saint Michael’s day as wage of the land attached to St. Clement Danes perish even in the late XIX century. Of coure at this time it was only symbolic, but a couple hundreds of years ago these customs were mandatory law acts, and failing to uphold to them could end with the loss of property. The same can be observed in Hungary, where even between the two Wolrd Wars, these kinds of traditions had an enormous effect. But was the basis of these then similar law systems also so alike? Meaning, that were the customs evolved after the first three hundred years of the creation of the state of Hungary so akin to the institutions formed after the first two hundred-two hundred and firty years of the english state after the norman conquest? And more in depth, how similar were the prominent institutions regarding land ownership law? And what were the biggest differences? I search for the answers to this question in my essay with the examination of the land ownership law institutions that evolved in England and Hungary between the XI and the XIII centuries and also by looking at the owners rights to their lands in their lives and deaths.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48211">
    <w:multiLevelType w:val="hybridMultilevel"/>
    <w:lvl w:ilvl="0" w:tplc="62940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48211">
    <w:abstractNumId w:val="39548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001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