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PATYI HAJNALKA</w:t>
            </w:r>
          </w:p>
          <w:p w:rsidR="00C275A3" w:rsidRDefault="00A96AEC" w:rsidP="00C275A3">
            <w:pPr>
              <w:pStyle w:val="Hallgatokepzes"/>
            </w:pPr>
            <w:r>
              <w:t>Nemzetközi gazdaság és gazdálkodás</w:t>
            </w:r>
            <w:r>
              <w:br/>
            </w:r>
            <w:r w:rsidR="00E77B23">
              <w:t>MSc,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Rechnitzer János</w:t>
            </w:r>
          </w:p>
          <w:p w:rsidR="00DB4822" w:rsidRDefault="00DB4822" w:rsidP="00E11062">
            <w:pPr>
              <w:pStyle w:val="Konzulensek"/>
            </w:pPr>
            <w:r w:rsidRPr="00DB4822">
              <w:t>rektorhelyettes, egyetemi docens,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Sikert vagy kudarcot hoz a Duna Stratégia?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Duna Stratégia az Európai Unió keretein belül létrejött makroregionális koncepciók egyike. A dunai térség együttműködése, jövőbeli sikerességének vagy éppen sikertelenségének lehetősége és ennek vizsgálata irányított a kutatás során. Kutatási kérdéseim közül a legfontosabb az, hogy a közép-európai összefogási kísérletek meghiúsulása láttán reménykedhetünk-e a Duna Stratégia sikerében? Mely tényezők erősíthetik a gyümölcsöző kooperáció gondolatát, s melyek léphetnek fel akadályozóként? Hogyan járulhat hozzá e stratégia a térség felvirágoztatásához? Összességében lehet-e az EU-ban felmerülő kihívásokra a makrorégiók létrehozása a válasz? A témát a fellelhető szakirodalom, könyvek, folyóirati cikkek, jelentések alapján dolgoztam fel.</w:t>
      </w:r>
      <w:r>
        <w:rPr>
          <w:color w:val="000000"/>
          <w:sz w:val="24"/>
          <w:szCs w:val="24"/>
        </w:rPr>
        <w:br/>
        <w:t xml:space="preserve">A Duna Stratégia kidolgozásának gondolata 2008-ra tehető, elfogadása azonban csak 2011 áprilisában történt meg. Hazánk elkötelezett a stratégia prioritásai iránt. Kiemelkedően fontos Magyarország számára a régió versenyképességének fokozása, a tudatos vízgazdálkodás, a fenntartható közlekedési rendszerek létrehozása, az energiabiztonság megteremtése, valamint a tudásalapú gazdaság felé tett lépések ösztönzése.</w:t>
      </w:r>
      <w:r>
        <w:rPr>
          <w:color w:val="000000"/>
          <w:sz w:val="24"/>
          <w:szCs w:val="24"/>
        </w:rPr>
        <w:br/>
        <w:t xml:space="preserve">A stratégia együttműködési keretei egyelőre még kiforratlanok, illetve konkrét eredményeknek sem vagyunk birtokában, mivel a kezdeményezés kezdeti fázisában van. Ám a jelenlegi tényeket figyelembe véve megállapíthatjuk, hogy a lehetőségek mellett kihívásokat és veszélyeket egyaránt rejt magában a koncepció. A dunai régió gazdasági potenciáljának felszínre hozása és kiaknázása, s ezzel párhuzamosan a nyugat-balkáni országokkal való kooperálás előmozdítása előidézheti a bővülve mélyülés jelenségét. Továbbá a Duna folyó mint összekötő szimbólum tartalommal való megtöltése a dunai identitás kialakulásának adhat kezdőlökést. A heterogenitás nagy fegyvere lehet az együttműködésnek, ugyanakkor az ezzel párosuló fejlettségbeli különbségek okozhatják a kezdeményezés bukását. A résztvevő országok eltérő motivációi, a prioritások közti ellentmondások, a finanszírozási kérdésekben terén való érdekütköztetések gátat szabnak az együttműködés sikerének.</w:t>
      </w:r>
      <w:r>
        <w:rPr>
          <w:color w:val="000000"/>
          <w:sz w:val="24"/>
          <w:szCs w:val="24"/>
        </w:rPr>
        <w:br/>
        <w:t xml:space="preserve">Összességében leszögezhetjük, hogy a makroregionális stratégia kidolgozása indokolt. Bár a gazdasági síkú kooperáció még várat magára, politikai támogatottsága erős. A makrorégió új teret nyithatnak a többszintűségnek, az alulról jövő kezdeményezéseknek, a területi tervezésnek. A siker kulcsa egyértelműen a tagállamok kezében van.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874208">
    <w:multiLevelType w:val="hybridMultilevel"/>
    <w:lvl w:ilvl="0" w:tplc="977503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874208">
    <w:abstractNumId w:val="738742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90198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