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SÓSKA</w:t>
            </w:r>
          </w:p>
          <w:p w:rsidR="00C275A3" w:rsidRDefault="00A96AEC" w:rsidP="00C275A3">
            <w:pPr>
              <w:pStyle w:val="Hallgatokepzes"/>
            </w:pPr>
            <w:r>
              <w:t>Regional and environmental economy MA</w:t>
            </w:r>
            <w:r>
              <w:br/>
            </w:r>
            <w:r w:rsidR="00E77B23">
              <w:t>MSc,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János Rechnitzer</w:t>
            </w:r>
          </w:p>
          <w:p w:rsidR="00DB4822" w:rsidRDefault="00DB4822" w:rsidP="00E11062">
            <w:pPr>
              <w:pStyle w:val="Konzulensek"/>
            </w:pPr>
            <w:r w:rsidRPr="00DB4822">
              <w:t>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Potencial supply area of the vehicle industry in the countries Vas and Zala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production of commercial vehicles was determining before the regime change, while the production of automobiles became dominant after the regime change in our mother country. Due to the influence of the settlement of Western-European and Japanese automobile factories in the Western part of Transdanubium, first of all in Győr-Moson-Sopron county, evolved a vehicle industry centre. As I am originated from county Zala I always dealt with the question of how county Zala could join to the vehicle industry centre of Győr and whether there is a vehicle industry potential, which is necessary to do so.</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essay I give a presentation of the supplier companies of the vehicle industry and of their relationships in the counties Vas and Zala. When I began writing on my essay I wanted to find the answers for the following questions: Is there a potential supplier region for the vehicle industry in the counties Vas and Zala, which could be joined to Győr, to the vehicle industry centre of the region, and if economic or social differences can be observed between the two counties, which may have an influence on the vehicle industry potential of these two counties. In order to answer my questions I firstly unfolded the facilities and situation of these counties in the vehicle industry then I examined ten companies in detail in the two counties. I interviewed the leaders of these companies or their employees in leading positions.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asked my interviewees about the aspects of choosing a site for their companies, about their positions in the competition among the other companies, about their relationships with their determining customers, about their difficulties concerning the suppliers of stock, raw material and intermediate products, about their participation in the network of production, cooperation and vent, about the supports from the state and from the local-government, about the competitions, the aims of improvements, about organisational difficulties, about their relationships with the tertiary education and about their expectations.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On the basis of the experiences and the outcomes, gained from the interviews, and with the help of the seconder data, I give an answer to my assumptions and formulate the directions of further research to analyse the relationships of the companies from county Zala with the Slovenian vehicle industry and to strengthen the education in association with the lack of professionals in the supplier companies of the vehicle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26480">
    <w:multiLevelType w:val="hybridMultilevel"/>
    <w:lvl w:ilvl="0" w:tplc="73012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26480">
    <w:abstractNumId w:val="70026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974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