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ANDRÁS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Rappai Gábor</w:t>
            </w:r>
          </w:p>
          <w:p w:rsidR="00DB4822" w:rsidRDefault="00DB4822" w:rsidP="00E11062">
            <w:pPr>
              <w:pStyle w:val="Konzulensek"/>
            </w:pPr>
            <w:r w:rsidRPr="00DB4822">
              <w:t>habil. 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HALLGATÓI MEGÉLHETÉSI INDEX A FELSŐOKTATÁSBAN RÉSZT VEVŐ HALLGATÓK FOGYASZTÓI KOSARA, VALAMINT A REGIONÁLIS MEGÉLHETÉSI INDEXEK BEMUTATÁSA – MÓDSZERTANI ALAPOK ÉS EMPIRIKUS KUTATÁS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felsőoktatásban részt vevő hallgatók havi kiadásait vizsgálom, a hat legnagyobb</w:t>
      </w:r>
      <w:r>
        <w:rPr>
          <w:color w:val="000000"/>
          <w:sz w:val="24"/>
          <w:szCs w:val="24"/>
        </w:rPr>
        <w:br/>
        <w:t xml:space="preserve">magyar város gazdaságtudományi képzésein résztvevő hallgatóinak válaszai alapján.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Dolgozatomnak kettős célja van: elsősorban egy olyan módszertant építek fel és mutatok be,</w:t>
      </w:r>
      <w:r>
        <w:rPr>
          <w:color w:val="000000"/>
          <w:sz w:val="24"/>
          <w:szCs w:val="24"/>
        </w:rPr>
        <w:br/>
        <w:t xml:space="preserve">amely segítségével meghatározható a hallgatói fogyasztói kosár, valamint összehasonlíthatóak a</w:t>
      </w:r>
      <w:r>
        <w:rPr>
          <w:color w:val="000000"/>
          <w:sz w:val="24"/>
          <w:szCs w:val="24"/>
        </w:rPr>
        <w:br/>
        <w:t xml:space="preserve">különböző városokban tanuló hallgatók kiadásai. Másodsorban konkrét számszerű becsléseket</w:t>
      </w:r>
      <w:r>
        <w:rPr>
          <w:color w:val="000000"/>
          <w:sz w:val="24"/>
          <w:szCs w:val="24"/>
        </w:rPr>
        <w:br/>
        <w:t xml:space="preserve">végzek a 2011/12-es adatokra támaszkodva és elkészítem a fogyasztói kosarat valamint a területi</w:t>
      </w:r>
      <w:r>
        <w:rPr>
          <w:color w:val="000000"/>
          <w:sz w:val="24"/>
          <w:szCs w:val="24"/>
        </w:rPr>
        <w:br/>
        <w:t xml:space="preserve">árindexeket.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egyértelműen alátámasztják a regionális különbségeket: átlagosan a fővárosban a</w:t>
      </w:r>
      <w:r>
        <w:rPr>
          <w:color w:val="000000"/>
          <w:sz w:val="24"/>
          <w:szCs w:val="24"/>
        </w:rPr>
        <w:br/>
        <w:t xml:space="preserve">legdrágább a hallgatók élete, a különböző vidéki városokban pedig 10-20%-kal kevesebb pénzből is</w:t>
      </w:r>
      <w:r>
        <w:rPr>
          <w:color w:val="000000"/>
          <w:sz w:val="24"/>
          <w:szCs w:val="24"/>
        </w:rPr>
        <w:br/>
        <w:t xml:space="preserve">elérhető ugyanaz a fogyasztás.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számos ponton továbbfejleszthető, kiterjeszthető több városra és képzési területre. A</w:t>
      </w:r>
      <w:r>
        <w:rPr>
          <w:color w:val="000000"/>
          <w:sz w:val="24"/>
          <w:szCs w:val="24"/>
        </w:rPr>
        <w:br/>
        <w:t xml:space="preserve">dolgozat egyben elméleti megalapozását adja egy olyan alkalmazásnak is, mely segítségével a</w:t>
      </w:r>
      <w:r>
        <w:rPr>
          <w:color w:val="000000"/>
          <w:sz w:val="24"/>
          <w:szCs w:val="24"/>
        </w:rPr>
        <w:br/>
        <w:t xml:space="preserve">lakossági igényeknek megfelelő, testre szabható területi összehasonlítások is készíthetőek.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77695">
    <w:multiLevelType w:val="hybridMultilevel"/>
    <w:lvl w:ilvl="0" w:tplc="68115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77695">
    <w:abstractNumId w:val="516776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9814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