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ANDRÁS MOLNÁR</w:t>
            </w:r>
          </w:p>
          <w:p w:rsidR="00C275A3" w:rsidRDefault="00A96AEC" w:rsidP="00C275A3">
            <w:pPr>
              <w:pStyle w:val="Hallgatokepzes"/>
            </w:pPr>
            <w:r>
              <w:t>Economic Analysis</w:t>
            </w:r>
            <w:r>
              <w:br/>
            </w:r>
            <w:r w:rsidR="00E77B23">
              <w:t>MA,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Business and Economics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Gábor Rappai, Ph.D.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Student's cost of living index The consumer basket of students in higher education and introduction to the regional COL indices – methodology and empirical research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this paper I am examining the monthly expenditure of students in higher education, based on the</w:t>
      </w:r>
      <w:r>
        <w:rPr>
          <w:color w:val="000000"/>
          <w:sz w:val="24"/>
          <w:szCs w:val="24"/>
        </w:rPr>
        <w:br/>
        <w:t xml:space="preserve">answers of students pursuing economic education from the six biggest Hungarian cities.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My paper has dual purposes: firstly to build and introduce a methodology which could be used</w:t>
      </w:r>
      <w:r>
        <w:rPr>
          <w:color w:val="000000"/>
          <w:sz w:val="24"/>
          <w:szCs w:val="24"/>
        </w:rPr>
        <w:br/>
        <w:t xml:space="preserve">to determine the consumer basket of students and to compare the average expenditure of students</w:t>
      </w:r>
      <w:r>
        <w:rPr>
          <w:color w:val="000000"/>
          <w:sz w:val="24"/>
          <w:szCs w:val="24"/>
        </w:rPr>
        <w:br/>
        <w:t xml:space="preserve">studying in different cities. The second purpose is to make specific numerical estimates, based on</w:t>
      </w:r>
      <w:r>
        <w:rPr>
          <w:color w:val="000000"/>
          <w:sz w:val="24"/>
          <w:szCs w:val="24"/>
        </w:rPr>
        <w:br/>
        <w:t xml:space="preserve">data from 2011/12 and to prepare the consumer basket and the regional price indices.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The results clearly support the regional differences: on average, the life of students is the most</w:t>
      </w:r>
      <w:r>
        <w:rPr>
          <w:color w:val="000000"/>
          <w:sz w:val="24"/>
          <w:szCs w:val="24"/>
        </w:rPr>
        <w:br/>
        <w:t xml:space="preserve">expensive in the capital, while in other cities the same consumption level is available for 10 to 20%</w:t>
      </w:r>
      <w:r>
        <w:rPr>
          <w:color w:val="000000"/>
          <w:sz w:val="24"/>
          <w:szCs w:val="24"/>
        </w:rPr>
        <w:br/>
        <w:t xml:space="preserve">less money.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The research could be further developed in several points, expandable to more cities and</w:t>
      </w:r>
      <w:r>
        <w:rPr>
          <w:color w:val="000000"/>
          <w:sz w:val="24"/>
          <w:szCs w:val="24"/>
        </w:rPr>
        <w:br/>
        <w:t xml:space="preserve">universities. The paper also gives a theoretical foundation to an application, which allows the</w:t>
      </w:r>
      <w:r>
        <w:rPr>
          <w:color w:val="000000"/>
          <w:sz w:val="24"/>
          <w:szCs w:val="24"/>
        </w:rPr>
        <w:br/>
        <w:t xml:space="preserve">creation of customized spatial comparisons.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776452">
    <w:multiLevelType w:val="hybridMultilevel"/>
    <w:lvl w:ilvl="0" w:tplc="493966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776452">
    <w:abstractNumId w:val="467764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36685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