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EDIT STREIT</w:t>
            </w:r>
          </w:p>
          <w:p w:rsidR="00C275A3" w:rsidRDefault="00A96AEC" w:rsidP="00C275A3">
            <w:pPr>
              <w:pStyle w:val="Hallgatokepzes"/>
            </w:pPr>
            <w:r>
              <w:t>Marketing</w:t>
            </w:r>
            <w:r>
              <w:br/>
            </w:r>
            <w:r w:rsidR="00E77B23">
              <w:t>MA, 10.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Bakucz</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Marketing Analysis of the Travel Decisions of Today’s Young Generation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dissertation is to analyse the travel decisions of Hungarian and foreign members of the the younger generation, that is, from the 18-30 age bracket. Profiles of typical travellers from the two backgrounds are drawn from a specifically marketing perspective.</w:t>
      </w:r>
      <w:r>
        <w:rPr>
          <w:color w:val="000000"/>
          <w:sz w:val="24"/>
          <w:szCs w:val="24"/>
        </w:rPr>
        <w:br/>
        <w:t xml:space="preserve">The paper first describes the importance of youth tourism, after which what might be termed the youth tourism product is elaborated. The possible motivations for travel are expanded upon in respect of both groups. A range of Marketing Communication tools is illustrated, followed by current trends in the field of youth tourism – and their possible influence on the travel goals of young people by successful marketing activity on the part of specific tourism destinations or travel companies.</w:t>
      </w:r>
      <w:r>
        <w:rPr>
          <w:color w:val="000000"/>
          <w:sz w:val="24"/>
          <w:szCs w:val="24"/>
        </w:rPr>
        <w:br/>
        <w:t xml:space="preserve">The first step of the empirical research employed was an online survey carried out by means of a questionnaires, after which in-depth interviews were conducted with two members of each of the two groups surveyed. From ts research a picture emerges of those marketing activities which influence the members of the two groups in their respective decisions, emphasising which type of communication tool has the most significant influence when information is gathered before actually travelling.</w:t>
      </w:r>
      <w:r>
        <w:rPr>
          <w:color w:val="000000"/>
          <w:sz w:val="24"/>
          <w:szCs w:val="24"/>
        </w:rPr>
        <w:br/>
        <w:t xml:space="preserve">The travel arrangement preferences of the Hungarian and foreign youth segments are also examined to determine whether they prefer the ’Do-it-Yourself” approach or rely on the services of the various intermediaries.</w:t>
      </w:r>
      <w:r>
        <w:rPr>
          <w:color w:val="000000"/>
          <w:sz w:val="24"/>
          <w:szCs w:val="24"/>
        </w:rPr>
        <w:br/>
        <w:t xml:space="preserve">It is, in fact, evident that there are significant differences between the travel-related behaviour of Hungarian and foreign young people, especially in their motivations for travel, but also in the information sources used and their idealised image of travel.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86801">
    <w:multiLevelType w:val="hybridMultilevel"/>
    <w:lvl w:ilvl="0" w:tplc="63298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86801">
    <w:abstractNumId w:val="94986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732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