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TÓTH-PAJOR</w:t>
            </w:r>
          </w:p>
          <w:p w:rsidR="00C275A3" w:rsidRDefault="00A96AEC" w:rsidP="00C275A3">
            <w:pPr>
              <w:pStyle w:val="Hallgatokepzes"/>
            </w:pPr>
            <w:r>
              <w:t>Finance</w:t>
            </w:r>
            <w:r>
              <w:br/>
            </w:r>
            <w:r w:rsidR="00E77B23">
              <w:t>MSc,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Kuti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FINANCIAL CONSTRAINTS ON THE INVESTMENT BEHAVIOUR OF SMES IN THE MANUFACTURING INDUSTRY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Subprime crisis the propensity to invest declined in the case of enterprises. As a consequence of this the enterprises failed to maintain their competitiveness, which led to the deterioration of the economic growth prospects. The drivers of the economic growth are the competitiveness of the SMEs and their propensity to invest into developments. These enterprises finance their investments with bank loans, which are the only available external source for the most of them.</w:t>
      </w:r>
      <w:r>
        <w:rPr>
          <w:color w:val="000000"/>
          <w:sz w:val="24"/>
          <w:szCs w:val="24"/>
        </w:rPr>
        <w:br/>
        <w:t xml:space="preserve">During the crisis the risk tolerance of the banks declined, so most of these enterprises cannot find external sources for their investments. This means that they are facing financial constraints.</w:t>
      </w:r>
      <w:r>
        <w:rPr>
          <w:color w:val="000000"/>
          <w:sz w:val="24"/>
          <w:szCs w:val="24"/>
        </w:rPr>
        <w:br/>
        <w:t xml:space="preserve">The purpose of this paper is the empirical examination of the financial constraints, which is introduced with the help of a sample from the Hungarian manufacturing industry. If we classify the enterprises according to their investment behaviour, then we can identify the factors, which can explain the classification. So we can find out what influences the propensity to invest in the case of these enterprises. This way the constrained firms can be identified.</w:t>
      </w:r>
      <w:r>
        <w:rPr>
          <w:color w:val="000000"/>
          <w:sz w:val="24"/>
          <w:szCs w:val="24"/>
        </w:rPr>
        <w:br/>
        <w:t xml:space="preserve">From the empirical study we can draw the conclusion that the constrained enterprises are mainly influenced by the size of the enterprises, by the size of the external sources, by the liquidity, and by the profitability. The other conclusion is that the investments of constrained enterprises are more sensitive for the available internal sources.</w:t>
      </w:r>
      <w:r>
        <w:rPr>
          <w:color w:val="000000"/>
          <w:sz w:val="24"/>
          <w:szCs w:val="24"/>
        </w:rPr>
        <w:br/>
        <w:t xml:space="preserve">The most of the manufacturing enterprises in the original sample are facing financial constraints, debt overhang and in the worst case financial distress. Besides these the lack of competitiveness and growth prospects can be observed. From these the conclusion can be drawn that these enterprises of the manufacturing industry are characterised by risk shifting, which can lead to the decrease of the company value, and to the increase of the risk of termination. This can explain why the most of the newly founded SMEs are not able to stay alive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28641">
    <w:multiLevelType w:val="hybridMultilevel"/>
    <w:lvl w:ilvl="0" w:tplc="43309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28641">
    <w:abstractNumId w:val="66328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246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