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DÁVIDA</w:t>
            </w:r>
          </w:p>
          <w:p w:rsidR="00C275A3" w:rsidRDefault="00A96AEC" w:rsidP="00C275A3">
            <w:pPr>
              <w:pStyle w:val="Hallgatokepzes"/>
            </w:pPr>
            <w:r>
              <w:t>Expert in Hungarian</w:t>
            </w:r>
            <w:r>
              <w:br/>
            </w:r>
            <w:r w:rsidR="00E77B23">
              <w:t>BA, 6.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Vilma Eőry dr.</w:t>
            </w:r>
          </w:p>
          <w:p w:rsidR="00DB4822" w:rsidRDefault="00DB4822" w:rsidP="00E11062">
            <w:pPr>
              <w:pStyle w:val="Konzulensek"/>
            </w:pPr>
            <w:r w:rsidRPr="00DB4822">
              <w:t>Head of Department,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Personal letters from legacy’s analysis of textology and stilistcs</w:t>
      </w:r>
      <w:r>
        <w:t xml:space="preserve"/>
      </w:r>
    </w:p>
    <w:p w:rsidR="00D71DF5" w:rsidRDefault="00D71DF5" w:rsidP="00AD2602">
      <w:pPr>
        <w:jc w:val="both"/>
      </w:pPr>
    </w:p>
    <w:p>
      <w:pPr>
        <w:pBdr/>
        <w:spacing w:before="240" w:after="240" w:line="240" w:lineRule="auto"/>
        <w:ind w:left="0" w:right="0"/>
        <w:jc w:val="left"/>
      </w:pPr>
    </w:p>
    <w:p>
      <w:pPr>
        <w:pBdr/>
        <w:spacing w:before="240" w:after="240" w:line="240" w:lineRule="auto"/>
        <w:ind w:left="0" w:right="0"/>
        <w:jc w:val="left"/>
      </w:pPr>
      <w:r>
        <w:rPr>
          <w:color w:val="000000"/>
          <w:sz w:val="24"/>
          <w:szCs w:val="24"/>
        </w:rPr>
        <w:br/>
        <w:t xml:space="preserve">In the theoretical part, we can read about the letter as text type or genre’s introduction, the form’s terms determination and the summary of the correspondence’s history. We will also read about the personal letter’s hardship’s of typification and the created and applied grouping methods by the author.</w:t>
      </w:r>
    </w:p>
    <w:p>
      <w:pPr>
        <w:pBdr/>
        <w:spacing w:before="240" w:after="240" w:line="240" w:lineRule="auto"/>
        <w:ind w:left="0" w:right="0"/>
        <w:jc w:val="left"/>
      </w:pPr>
      <w:r>
        <w:rPr>
          <w:color w:val="000000"/>
          <w:sz w:val="24"/>
          <w:szCs w:val="24"/>
        </w:rPr>
        <w:t xml:space="preserve">Besides typology the another important question of this TDK dissertation is how we can create a picture about the creator’s personality and wiev from their letters and writing. The base of the analysis will be letters, that came from legacies between 1940 to 1970. Those analysis of letters are highlighted, which came from writer’s who moved to foreign countries.</w:t>
      </w:r>
    </w:p>
    <w:p>
      <w:pPr>
        <w:pBdr/>
        <w:spacing w:before="240" w:after="240" w:line="240" w:lineRule="auto"/>
        <w:ind w:left="0" w:right="0"/>
        <w:jc w:val="left"/>
      </w:pPr>
      <w:r>
        <w:rPr>
          <w:color w:val="000000"/>
          <w:sz w:val="24"/>
          <w:szCs w:val="24"/>
        </w:rPr>
        <w:t xml:space="preserve">So this dissertation has a lot of goals. It assent to the letter as text type, and to the personal letter as secondary type for the corpus based analysis of linguistic and stilistics. However the dissertation has cultural historical importance as well, because we can look into the everydays and traditions after the second World War.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009503">
    <w:multiLevelType w:val="hybridMultilevel"/>
    <w:lvl w:ilvl="0" w:tplc="389123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009503">
    <w:abstractNumId w:val="210095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5660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