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HADOBÁS</w:t>
            </w:r>
          </w:p>
          <w:p w:rsidR="00C275A3" w:rsidRDefault="00A96AEC" w:rsidP="00C275A3">
            <w:pPr>
              <w:pStyle w:val="Hallgatokepzes"/>
            </w:pPr>
            <w:r>
              <w:t>MA in History</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Bartók Béla</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Social History study of the students of the Archdiocesan Academy of Law in Eger (1862—1874)</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examine the students of the Egri Érseki Jogakadémia (Collegium Juridicum, Eger College of Law) from spatial and social aspects between 1862 and 1874 on the basis of the school registers. I give a general overview of the development of the trainings in the college; of the beginning of law training in the country and of the reasons behind the evolution of such institutions.</w:t>
      </w:r>
    </w:p>
    <w:p>
      <w:pPr>
        <w:pBdr/>
        <w:spacing w:before="240" w:after="240" w:line="240" w:lineRule="auto"/>
        <w:ind w:left="0" w:right="0"/>
        <w:jc w:val="left"/>
      </w:pPr>
      <w:r>
        <w:rPr>
          <w:color w:val="000000"/>
          <w:sz w:val="24"/>
          <w:szCs w:val="24"/>
        </w:rPr>
        <w:t xml:space="preserve">I describe the foundation of Jogakadémia. I also present the regulations concerning the operation of schools and how they influenced the functioning of institutions of this type; also I outline the impacts these regulations had on the acceptance of Eger law degrees in state offices.</w:t>
      </w:r>
    </w:p>
    <w:p>
      <w:pPr>
        <w:pBdr/>
        <w:spacing w:before="240" w:after="240" w:line="240" w:lineRule="auto"/>
        <w:ind w:left="0" w:right="0"/>
        <w:jc w:val="left"/>
      </w:pPr>
      <w:r>
        <w:rPr>
          <w:color w:val="000000"/>
          <w:sz w:val="24"/>
          <w:szCs w:val="24"/>
        </w:rPr>
        <w:t xml:space="preserve">At that time, both the state and the church maintained law schools but Jogakadémia was operated by the church. Between 1862 and 1874, trainings in law were unified and the time of the training was increased from two to three years. My aim was to determine the catchment area of the Eger institution through the analysis of the students’ place of birth and residence. My hypothesis was that the students arrived mainly from Heves and the neighbouring counties. I found it also important to examine the parents’ social background. As for the religious denomination of the students I supposed that the majority were Roman Catholic. I devote a separate chapter to the examination of the types of data registered about the students because they influenced to a large extent my opportunities for analysis and determined the number of preliminary hypotheses possible to examine and prove.</w:t>
      </w:r>
    </w:p>
    <w:p>
      <w:pPr>
        <w:pBdr/>
        <w:spacing w:before="240" w:after="240" w:line="240" w:lineRule="auto"/>
        <w:ind w:left="0" w:right="0"/>
        <w:jc w:val="left"/>
      </w:pPr>
      <w:r>
        <w:rPr>
          <w:color w:val="000000"/>
          <w:sz w:val="24"/>
          <w:szCs w:val="24"/>
        </w:rPr>
        <w:t xml:space="preserve">The analysis can be divided into two parts. In the first part I deal with the analysis of the spatial parameters among the students’ data. I looked into their place of birth, residence, secondary school training and matriculation. From these data I determined the catchment area of Jogakadémia: the majority of the students lived in Heves County. The data also proved my other hypothesis: the majority of the students were Roman Catholic by denomination. In the other part I examine the students’ social background. The registers mention almost a hundred different professsions so I tried to form social-professional categories out of them. I have managed to determine the category which included the most parents. According to the established categories the phenomenon of “self-recruiting” (“önrekrutáció”) can be seen here; that is to say, children chose the same profession as their parents. The research topic demands further examination.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81618">
    <w:multiLevelType w:val="hybridMultilevel"/>
    <w:lvl w:ilvl="0" w:tplc="43947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81618">
    <w:abstractNumId w:val="36581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1643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