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RAKITA</w:t>
            </w:r>
          </w:p>
          <w:p w:rsidR="00C275A3" w:rsidRDefault="00A96AEC" w:rsidP="00C275A3">
            <w:pPr>
              <w:pStyle w:val="Hallgatokepzes"/>
            </w:pPr>
            <w:r>
              <w:t>MA in History</w:t>
            </w:r>
            <w:r>
              <w:br/>
            </w:r>
            <w:r w:rsidR="00E77B23">
              <w:t>MA, 4.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Pap, PhD</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Society of Vecsés between the two World Wars as Reflected in Cadastral and Taxation Documents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topic of this work is the social- and economical history of Vecsés in the first half of the 20th century.</w:t>
      </w:r>
    </w:p>
    <w:p>
      <w:pPr>
        <w:pBdr/>
        <w:spacing w:before="240" w:after="240" w:line="240" w:lineRule="auto"/>
        <w:ind w:left="0" w:right="0"/>
        <w:jc w:val="left"/>
      </w:pPr>
      <w:r>
        <w:rPr>
          <w:color w:val="000000"/>
          <w:sz w:val="24"/>
          <w:szCs w:val="24"/>
        </w:rPr>
        <w:t xml:space="preserve">The aim was to reveal the relations in the system of land holding in Vecsés in the Horthy-era. After I became familiar with the related literature, I have analysed the personal cadasthral sheets generated between 1934 and 1936, which can be found in Pest Megyei Levéltár. The low number of these made me turn to unfolding the relations of tax-paying in the era by analysing six volumes of the main book of taxation from 1935.</w:t>
      </w:r>
    </w:p>
    <w:p>
      <w:pPr>
        <w:pBdr/>
        <w:spacing w:before="240" w:after="240" w:line="240" w:lineRule="auto"/>
        <w:ind w:left="0" w:right="0"/>
        <w:jc w:val="left"/>
      </w:pPr>
      <w:r>
        <w:rPr>
          <w:color w:val="000000"/>
          <w:sz w:val="24"/>
          <w:szCs w:val="24"/>
        </w:rPr>
        <w:t xml:space="preserve">The several thousands of data-records have been loaded into a Microsoft Access database, then were transferred into the SPSS Statistics application, what made data-processing easier and faster. During the research, I’d been trying to find outstanding cases both in the landholding and the tax-paying attributes. Furthermore, I examined – among others – the land owners’ and taxpayers’ relations in occupation, religion, income and the amount of the taxes paid. With the help of the data included in this paper, I have tried to illustrate the range of possible analysis provided by these sources and what results can be concluded at this stage of the research. It seems obvious that Vecsés, that used to be an agricultural settlement in the 19th century, became a so called ”residential village” by the 20th century, which means a significant amount of its population worked outside of the town.</w:t>
      </w:r>
    </w:p>
    <w:p>
      <w:pPr>
        <w:pBdr/>
        <w:spacing w:before="240" w:after="240" w:line="240" w:lineRule="auto"/>
        <w:ind w:left="0" w:right="0"/>
        <w:jc w:val="left"/>
      </w:pPr>
      <w:r>
        <w:rPr>
          <w:color w:val="000000"/>
          <w:sz w:val="24"/>
          <w:szCs w:val="24"/>
        </w:rPr>
        <w:t xml:space="preserve">In the further stage of the research my aim is to unfold the progress when Vecsés turned into a residential village. This means that the analysis will have to be expanded to the cadastral and taxation documents of Vecsés in the 19th century. The processing of the ecclesiastic registers from the era is also in progress, which will allow a wide range of complete family reconstructions with the help of the MS Access application. At the end of the research we can get a full picture of Vecsés’ society in the 19-20th centuries.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59671">
    <w:multiLevelType w:val="hybridMultilevel"/>
    <w:lvl w:ilvl="0" w:tplc="73263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59671">
    <w:abstractNumId w:val="386596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52830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