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GULYAS</w:t>
            </w:r>
          </w:p>
          <w:p w:rsidR="00C275A3" w:rsidRDefault="00A96AEC" w:rsidP="00C275A3">
            <w:pPr>
              <w:pStyle w:val="Hallgatokepzes"/>
            </w:pPr>
            <w:r>
              <w:t>visual representation art</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Eross</w:t>
            </w:r>
          </w:p>
          <w:p w:rsidR="00DB4822" w:rsidRDefault="00DB4822" w:rsidP="00E11062">
            <w:pPr>
              <w:pStyle w:val="Konzulensek"/>
            </w:pPr>
            <w:r w:rsidRPr="00DB4822">
              <w:t>associate professor/egyetemi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Transitional period I.,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Andrea Gulyas</w:t>
      </w:r>
    </w:p>
    <w:p>
      <w:pPr>
        <w:widowControl w:val="on"/>
        <w:pBdr/>
        <w:spacing w:before="240" w:after="240" w:line="240" w:lineRule="auto"/>
        <w:ind w:left="0" w:right="0"/>
        <w:jc w:val="left"/>
      </w:pPr>
      <w:r>
        <w:rPr>
          <w:color w:val="000000"/>
          <w:sz w:val="24"/>
          <w:szCs w:val="24"/>
        </w:rPr>
        <w:t xml:space="preserve">Title: Transitional period I., II.</w:t>
      </w:r>
    </w:p>
    <w:p>
      <w:pPr>
        <w:widowControl w:val="on"/>
        <w:pBdr/>
        <w:spacing w:before="240" w:after="240" w:line="240" w:lineRule="auto"/>
        <w:ind w:left="0" w:right="0"/>
        <w:jc w:val="left"/>
      </w:pPr>
      <w:r>
        <w:rPr>
          <w:color w:val="000000"/>
          <w:sz w:val="24"/>
          <w:szCs w:val="24"/>
        </w:rPr>
        <w:t xml:space="preserve">Size: 100x100 cm (two pieces)</w:t>
      </w:r>
    </w:p>
    <w:p>
      <w:pPr>
        <w:widowControl w:val="on"/>
        <w:pBdr/>
        <w:spacing w:before="240" w:after="240" w:line="240" w:lineRule="auto"/>
        <w:ind w:left="0" w:right="0"/>
        <w:jc w:val="left"/>
      </w:pPr>
      <w:r>
        <w:rPr>
          <w:color w:val="000000"/>
          <w:sz w:val="24"/>
          <w:szCs w:val="24"/>
        </w:rPr>
        <w:t xml:space="preserve">Technic: mixed technique, canvas</w:t>
      </w:r>
    </w:p>
    <w:p>
      <w:pPr>
        <w:widowControl w:val="on"/>
        <w:pBdr/>
        <w:spacing w:before="240" w:after="240" w:line="240" w:lineRule="auto"/>
        <w:ind w:left="0" w:right="0"/>
        <w:jc w:val="left"/>
      </w:pPr>
      <w:r>
        <w:rPr>
          <w:color w:val="000000"/>
          <w:sz w:val="24"/>
          <w:szCs w:val="24"/>
        </w:rPr>
        <w:t xml:space="preserve">Made: 2012.</w:t>
      </w:r>
    </w:p>
    <w:p>
      <w:pPr>
        <w:widowControl w:val="on"/>
        <w:pBdr/>
        <w:spacing w:before="240" w:after="240" w:line="240" w:lineRule="auto"/>
        <w:ind w:left="0" w:right="0"/>
        <w:jc w:val="left"/>
      </w:pPr>
      <w:r>
        <w:rPr>
          <w:color w:val="000000"/>
          <w:sz w:val="24"/>
          <w:szCs w:val="24"/>
        </w:rPr>
        <w:t xml:space="preserve">In my works, I try to depict everyday objects and elements (in this case a door and a heart) from a brand new, not everyday angle. Through placing these objects and elements in a new context, I aim to create a new conceptual setting. I strive for a simple composition (both in form and colour), and also to release the association field.</w:t>
      </w:r>
    </w:p>
    <w:p>
      <w:pPr>
        <w:widowControl w:val="on"/>
        <w:pBdr/>
        <w:spacing w:before="240" w:after="240" w:line="240" w:lineRule="auto"/>
        <w:ind w:left="0" w:right="0"/>
        <w:jc w:val="left"/>
      </w:pPr>
      <w:r>
        <w:rPr>
          <w:color w:val="000000"/>
          <w:sz w:val="24"/>
          <w:szCs w:val="24"/>
        </w:rPr>
        <w:t xml:space="preserve">The titles of these two paintings of mine (Transitional period), truly signifies a time period, a some kind of passage between two places or situations for me. I do not give a concrete title-therefore a verbal image-to my works, because the point is, that everyone would shape the meaning of the painting through the mosaics of the feedback obtained either empirically or through their own thoughts.</w:t>
      </w:r>
    </w:p>
    <w:p>
      <w:pPr>
        <w:widowControl w:val="on"/>
        <w:pBdr/>
        <w:spacing w:before="240" w:after="240" w:line="240" w:lineRule="auto"/>
        <w:ind w:left="0" w:right="0"/>
        <w:jc w:val="left"/>
      </w:pPr>
      <w:r>
        <w:rPr>
          <w:color w:val="000000"/>
          <w:sz w:val="24"/>
          <w:szCs w:val="24"/>
        </w:rPr>
        <w:t xml:space="preserve">Transitional Period I. (100x100 cm, acrylic, graphite, canvas)</w:t>
      </w:r>
    </w:p>
    <w:p>
      <w:pPr>
        <w:widowControl w:val="on"/>
        <w:pBdr/>
        <w:spacing w:before="240" w:after="240" w:line="240" w:lineRule="auto"/>
        <w:ind w:left="0" w:right="0"/>
        <w:jc w:val="left"/>
      </w:pPr>
      <w:r>
        <w:rPr>
          <w:color w:val="000000"/>
          <w:sz w:val="24"/>
          <w:szCs w:val="24"/>
        </w:rPr>
        <w:t xml:space="preserve">You can see doors in this painting. The function of the door is to be opened and closed. However, in my painting, the doors are joined. The doors are attached by their hinges on the side of the handle, where the opening and closing function should be. Consequently, they cannot be opened or closed, which creates a sense of timelessness and leaves the doors without a function.</w:t>
      </w:r>
    </w:p>
    <w:p>
      <w:pPr>
        <w:widowControl w:val="on"/>
        <w:pBdr/>
        <w:spacing w:before="240" w:after="240" w:line="240" w:lineRule="auto"/>
        <w:ind w:left="0" w:right="0"/>
        <w:jc w:val="left"/>
      </w:pPr>
      <w:r>
        <w:rPr>
          <w:color w:val="000000"/>
          <w:sz w:val="24"/>
          <w:szCs w:val="24"/>
        </w:rPr>
        <w:t xml:space="preserve">Transitional Period II. (100x100 cm, mixed technique, canvas)</w:t>
      </w:r>
    </w:p>
    <w:p>
      <w:pPr>
        <w:widowControl w:val="on"/>
        <w:pBdr/>
        <w:spacing w:before="240" w:after="240" w:line="240" w:lineRule="auto"/>
        <w:ind w:left="0" w:right="0"/>
        <w:jc w:val="left"/>
      </w:pPr>
      <w:r>
        <w:rPr>
          <w:color w:val="000000"/>
          <w:sz w:val="24"/>
          <w:szCs w:val="24"/>
        </w:rPr>
        <w:t xml:space="preserve">In this painting, I have placed the anatomical heart in a foreign setting, and by doing so, I have also created an association completely different from the central motive, a conceptual change, so the background reacts upon the original form. The heart is composed of lettuce leaves placed between two acrylic layers and their venation symbolizes the facture of the heart’s venous network. Its background is an acrylic base giving the effect of a squared paper woven through with amoeba movement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23897">
    <w:multiLevelType w:val="hybridMultilevel"/>
    <w:lvl w:ilvl="0" w:tplc="31602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23897">
    <w:abstractNumId w:val="80323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629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