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ISTVÁN MAYER</w:t>
            </w:r>
          </w:p>
          <w:p w:rsidR="00C275A3" w:rsidRDefault="00A96AEC" w:rsidP="00C275A3">
            <w:pPr>
              <w:pStyle w:val="Hallgatokepzes"/>
            </w:pPr>
            <w:r>
              <w:t>Cultural Heritage Studies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Verók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John Sigismund Szapolyai (1556 - 1571), Prince of Transylvania. An Attempt to Develop a Psychobiographical Draft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losing the battle of Mohács and occupation of Buda, a period marked by troubled relationships, was established the basis of the Principality of Transylvania with the division of the country in three parts. This fund and the state political structure were put down and formed for 150 years by John Sigismund Stephen Zapolya - II. John (1540 - 1571), the elected king of Hungary, the first prince of Transylvania, after the death of his mother. For this result there were necessary a lot of agreements and compromises, misunderstood by the posterity. That was manifested in balancing between the Ottoman and the Habsburg Empire, as well as in the agreement with the inner country nations. In his times, the freedom and the spreading of the four accepted religions were uniquely created and adopted (Catholic, Lutheran, Reformed, Unitarian), "because faith ... willl be from hearing." Taking over the role of the discontinued Royal Court of Buda, he supported the culture and the art in an outstanding way. Altough he had an early death, after the Speyer Convention (1570) he was wearing officially just a few months the regal title, his role is still outstanding. Even if, because his faith, the hostile Catholic Church attempted to discredit him and made him "John Sigismund", even though no one knew him in his life of this name.</w:t>
      </w:r>
    </w:p>
    <w:p>
      <w:pPr>
        <w:pBdr/>
        <w:spacing w:before="240" w:after="240" w:line="240" w:lineRule="auto"/>
        <w:ind w:left="0" w:right="0"/>
        <w:jc w:val="left"/>
      </w:pPr>
      <w:r>
        <w:rPr>
          <w:color w:val="000000"/>
          <w:sz w:val="24"/>
          <w:szCs w:val="24"/>
        </w:rPr>
        <w:t xml:space="preserve">In his walk of life his personality had a main role, effected by his childhood memories, anxieties of his life and well or less well was formed his social relations. This study attempts to demonstrate that by using the methods of psychobiography, which is the using of psychology in history, especially referring to the life story or career of individuals. The "broken family" of adulthood, his mother's clinging and suffocating love, the melancholic soul were dominating in his anxious, sickly temper. The failed marriage attempts and the unsatisfied instincts caused anxiety, tension and sublimation, which were shown in supporting of culture. This were also helped by the qualities, which are characteristic of creative people (Cropley), and the prince considered own. His short life was filled of internal and external struggle, but in his fighter’s life worked for home salvation.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57772">
    <w:multiLevelType w:val="hybridMultilevel"/>
    <w:lvl w:ilvl="0" w:tplc="36297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57772">
    <w:abstractNumId w:val="60657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274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