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TÓTH</w:t>
            </w:r>
          </w:p>
          <w:p w:rsidR="00C275A3" w:rsidRDefault="00A96AEC" w:rsidP="00C275A3">
            <w:pPr>
              <w:pStyle w:val="Hallgatokepzes"/>
            </w:pPr>
            <w:r>
              <w:t>Mathematics BSc</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Juhász</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Lie derived lengths of symmetric elements of non Lie solvable group algebras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Let FG be the group algebra of the group G over the field F, U(FG) the group of units in FG, and let FG</w:t>
      </w:r>
      <w:r>
        <w:rPr>
          <w:color w:val="000000"/>
          <w:position w:val="4"/>
          <w:sz w:val="21"/>
          <w:szCs w:val="21"/>
          <w:vertAlign w:val="superscript"/>
        </w:rPr>
        <w:t xml:space="preserve">+</w:t>
      </w:r>
      <w:r>
        <w:rPr>
          <w:color w:val="000000"/>
          <w:sz w:val="24"/>
          <w:szCs w:val="24"/>
        </w:rPr>
        <w:t xml:space="preserve">, and U</w:t>
      </w:r>
      <w:r>
        <w:rPr>
          <w:color w:val="000000"/>
          <w:position w:val="4"/>
          <w:sz w:val="21"/>
          <w:szCs w:val="21"/>
          <w:vertAlign w:val="superscript"/>
        </w:rPr>
        <w:t xml:space="preserve">+</w:t>
      </w:r>
      <w:r>
        <w:rPr>
          <w:color w:val="000000"/>
          <w:sz w:val="24"/>
          <w:szCs w:val="24"/>
        </w:rPr>
        <w:t xml:space="preserve">(FG) be the set of symmetric elements and the set of symmetric units in FG with respect to the involution of FG which inverts all elements of G. The description of FG for which U(FG) is solvable is done, but very little is known about the derived length of U(FG). The results obtained by now imply that this problem can be handled best via the Lie structure of FG.</w:t>
      </w:r>
    </w:p>
    <w:p>
      <w:pPr>
        <w:pBdr/>
        <w:spacing w:before="240" w:after="240" w:line="240" w:lineRule="auto"/>
        <w:ind w:left="0" w:right="0"/>
        <w:jc w:val="left"/>
      </w:pPr>
      <w:r>
        <w:rPr>
          <w:color w:val="000000"/>
          <w:sz w:val="24"/>
          <w:szCs w:val="24"/>
        </w:rPr>
        <w:br/>
        <w:t xml:space="preserve">The examination of the set of symmetric elements is the most intensively researched area in the topic of group algebras at present. However, it is an open problem to give necessary and sufficient conditions for the Lie solvability of FG</w:t>
      </w:r>
      <w:r>
        <w:rPr>
          <w:color w:val="000000"/>
          <w:position w:val="4"/>
          <w:sz w:val="21"/>
          <w:szCs w:val="21"/>
          <w:vertAlign w:val="superscript"/>
        </w:rPr>
        <w:t xml:space="preserve">+</w:t>
      </w:r>
      <w:r>
        <w:rPr>
          <w:color w:val="000000"/>
          <w:sz w:val="24"/>
          <w:szCs w:val="24"/>
        </w:rPr>
        <w:t xml:space="preserve"> and the solvability of U</w:t>
      </w:r>
      <w:r>
        <w:rPr>
          <w:color w:val="000000"/>
          <w:position w:val="4"/>
          <w:sz w:val="21"/>
          <w:szCs w:val="21"/>
          <w:vertAlign w:val="superscript"/>
        </w:rPr>
        <w:t xml:space="preserve">+</w:t>
      </w:r>
      <w:r>
        <w:rPr>
          <w:color w:val="000000"/>
          <w:sz w:val="24"/>
          <w:szCs w:val="24"/>
        </w:rPr>
        <w:t xml:space="preserve">(FG).</w:t>
      </w:r>
    </w:p>
    <w:p>
      <w:pPr>
        <w:pBdr/>
        <w:spacing w:before="240" w:after="240" w:line="240" w:lineRule="auto"/>
        <w:ind w:left="0" w:right="0"/>
        <w:jc w:val="left"/>
      </w:pPr>
      <w:r>
        <w:rPr>
          <w:color w:val="000000"/>
          <w:sz w:val="24"/>
          <w:szCs w:val="24"/>
        </w:rPr>
        <w:br/>
        <w:t xml:space="preserve">Let p be an odd prime, F a field of characteristic p, P an arbitrary finite p-group, and let G be the direct product of P and a non-abelian Hamiltonian 2-group. In this paper we are going to show that FG</w:t>
      </w:r>
      <w:r>
        <w:rPr>
          <w:color w:val="000000"/>
          <w:position w:val="4"/>
          <w:sz w:val="21"/>
          <w:szCs w:val="21"/>
          <w:vertAlign w:val="superscript"/>
        </w:rPr>
        <w:t xml:space="preserve">+</w:t>
      </w:r>
      <w:r>
        <w:rPr>
          <w:color w:val="000000"/>
          <w:sz w:val="24"/>
          <w:szCs w:val="24"/>
        </w:rPr>
        <w:t xml:space="preserve"> is Lie solvable, U</w:t>
      </w:r>
      <w:r>
        <w:rPr>
          <w:color w:val="000000"/>
          <w:position w:val="4"/>
          <w:sz w:val="21"/>
          <w:szCs w:val="21"/>
          <w:vertAlign w:val="superscript"/>
        </w:rPr>
        <w:t xml:space="preserve">+</w:t>
      </w:r>
      <w:r>
        <w:rPr>
          <w:color w:val="000000"/>
          <w:sz w:val="24"/>
          <w:szCs w:val="24"/>
        </w:rPr>
        <w:t xml:space="preserve">(FG) solvable, even though FG is not Lie solvable and U(FG) is not solvable. We will also prove that both the Lie derived length of FG</w:t>
      </w:r>
      <w:r>
        <w:rPr>
          <w:color w:val="000000"/>
          <w:position w:val="4"/>
          <w:sz w:val="21"/>
          <w:szCs w:val="21"/>
          <w:vertAlign w:val="superscript"/>
        </w:rPr>
        <w:t xml:space="preserve">+</w:t>
      </w:r>
      <w:r>
        <w:rPr>
          <w:color w:val="000000"/>
          <w:sz w:val="24"/>
          <w:szCs w:val="24"/>
        </w:rPr>
        <w:t xml:space="preserve"> and the derived length of U</w:t>
      </w:r>
      <w:r>
        <w:rPr>
          <w:color w:val="000000"/>
          <w:position w:val="4"/>
          <w:sz w:val="21"/>
          <w:szCs w:val="21"/>
          <w:vertAlign w:val="superscript"/>
        </w:rPr>
        <w:t xml:space="preserve">+</w:t>
      </w:r>
      <w:r>
        <w:rPr>
          <w:color w:val="000000"/>
          <w:sz w:val="24"/>
          <w:szCs w:val="24"/>
        </w:rPr>
        <w:t xml:space="preserve">(FG) do not exceed the upper integer part of log</w:t>
      </w:r>
      <w:r>
        <w:rPr>
          <w:color w:val="000000"/>
          <w:position w:val="-4"/>
          <w:sz w:val="21"/>
          <w:szCs w:val="21"/>
          <w:vertAlign w:val="subscript"/>
        </w:rPr>
        <w:t xml:space="preserve">2</w:t>
      </w:r>
      <w:r>
        <w:rPr>
          <w:color w:val="000000"/>
          <w:sz w:val="24"/>
          <w:szCs w:val="24"/>
        </w:rPr>
        <w:t xml:space="preserve">t(P), where t(P) is the nilpotency index of the augmentation ideal of the group algebra FP, and this bound is attained whenever P is a powerful group. Finally, we show that the condition ’P being powerful’ is sufficient, but not necessary to the equality.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41003">
    <w:multiLevelType w:val="hybridMultilevel"/>
    <w:lvl w:ilvl="0" w:tplc="84068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41003">
    <w:abstractNumId w:val="32041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692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