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ACZEL</w:t>
            </w:r>
          </w:p>
          <w:p w:rsidR="00C275A3" w:rsidRDefault="00A96AEC" w:rsidP="00C275A3">
            <w:pPr>
              <w:pStyle w:val="Hallgatokepzes"/>
            </w:pPr>
            <w:r>
              <w:t>American Studies MA</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Tarnoc</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Interpretation of the Columbus Myth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main objective of the treatise was to interpret the Columbus Myth from a multidisciplinary point of view. In order to achieve the desired goal I have applied a research apparatus primarily composed of myth studies along with cultural and literary sources. Two works have proven to be especially useful: Zsolt Virágos: The Legacy of Jim Crow (2002) and Vincent B. Leitch: American Literary Criticism from the Thirties to the Eighties (1988). Due to the heterogeneous nature of the Columbus myth, it would have been impossible to build my research on a single theory. Thus, in the first section I intended to explain the Columbus myth according to Giambattista Vico’s position: “Without myth man becomes an abstract, homeless roaring creature”. Furthermore, in an attempt to deal with this polysemic phenomenon I applied Virágos’ threepartite myth model. Thus, I examined the three types of myth regarding either their values or their shortcomings namely, which type of myth category can the Columbus myth be allocated into. Viewed from the M1 angle the most important characteristic of the Columbus myth is its cultural continuity hidden yet revealed by Harry Slochower: “The individual is not born, he is thrown into existence.” Besides it is supported by biblical allusions and the mythopoeic mode of consciousness model applying the three determinative phases: the primary, the romantic and the consummatory level all of them responsible for self-justification.</w:t>
      </w:r>
    </w:p>
    <w:p>
      <w:pPr>
        <w:widowControl w:val="on"/>
        <w:pBdr/>
        <w:spacing w:before="240" w:after="240" w:line="240" w:lineRule="auto"/>
        <w:ind w:left="0" w:right="0"/>
        <w:jc w:val="left"/>
      </w:pPr>
      <w:r>
        <w:rPr>
          <w:color w:val="000000"/>
          <w:sz w:val="24"/>
          <w:szCs w:val="24"/>
        </w:rPr>
        <w:t xml:space="preserve">I also examined whether the Columbus myth meets the criteria of the M2, the prejudice-based myth. This sort of myth providing self-justification at the cost of degrading the other was based on the idea of the We(ness) versus They(ness) dichotomy. Eventually, I investigated the M3 category, or myth with a creative force. One of the most outstanding features was its manipulative force integrating into the social consciousness demonstrated by the propagation of the mistaken landfall concept. Besides I highlighted its effect in literature via Paul Claudel’s two Columbuses, the real and the figurative. The conclusion of my research was rather subjective, due to the tripartite taxonomy. The Columbus myth is considered impenetrable regarding the embedding of the myths and the fact that the individual is thrown into existence authorizes us to interpret it from our own point of view, which is culture dependent.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86637">
    <w:multiLevelType w:val="hybridMultilevel"/>
    <w:lvl w:ilvl="0" w:tplc="68903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86637">
    <w:abstractNumId w:val="28086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291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