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BOGNÁR ANNA</w:t>
            </w:r>
          </w:p>
          <w:p w:rsidR="00C275A3" w:rsidRDefault="00A96AEC" w:rsidP="00C275A3">
            <w:pPr>
              <w:pStyle w:val="Hallgatokepzes"/>
            </w:pPr>
            <w:r>
              <w:t>Biológus MSc</w:t>
            </w:r>
            <w:r>
              <w:br/>
            </w:r>
            <w:r w:rsidR="00E77B23">
              <w:t>MSc, 8.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Sáry Gyula</w:t>
            </w:r>
          </w:p>
          <w:p w:rsidR="00DB4822" w:rsidRDefault="00DB4822" w:rsidP="00E11062">
            <w:pPr>
              <w:pStyle w:val="Konzulensek"/>
            </w:pPr>
            <w:r w:rsidRPr="00DB4822">
              <w:t>egyetemi docens,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Audiovizuális integráció a magno- és parvocelluláris pályán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Pszichofizikai kísérletünkben a multiszenzoros integrációt vizsgáltuk a double flash illúzió kísérleti paradigma használatával, amelyben rövid ideig tartó egyszerű felvillanással és párhuzamosan leadott két rövid hangingerrel egy újabb villanás illúzióját kelthetjük. E mellett a flash fusion illúziót is vizsgáltuk, mely két, rövid ideig tartó egyszerű felvillanással párhuzamosan bemutatott rövid hangingerrel az egyik felvillanás hiányának illúzióját keltheti.</w:t>
      </w:r>
      <w:r>
        <w:rPr>
          <w:color w:val="000000"/>
          <w:sz w:val="24"/>
          <w:szCs w:val="24"/>
        </w:rPr>
        <w:br/>
        <w:t xml:space="preserve">Kísérletünk célja volt megállapítani az audiovizuális információk ilyen jellegű integrációjának a hátterét. Stimulusainkat úgy alkottuk meg, hogy szelektíven ingereljük a vizuális rendszer két nagy feldolgozó pályáját. A magnocelluláris pályát alacsony kontrasztú stimulusokkal ingereltük szelektíven, míg a parvocelluláris pálya ingerlésekor izolumináns stimulusokat alkalmaztunk. Magas kontrasztú stimulusokat használtunk a két pálya egyidejű ingerlésére. A különböző fotoreceptorok más-más arányban és minőségben járulnak hozzá a pályák működéséhez. Mivel a csapok és pálcikák retinális eloszlása nem egyenletes, ezért centrális és perifériás kondíciókat is alkalmaztunk.</w:t>
      </w:r>
    </w:p>
    <w:p>
      <w:pPr>
        <w:pBdr/>
        <w:spacing w:before="240" w:after="240" w:line="240" w:lineRule="auto"/>
        <w:ind w:left="0" w:right="0"/>
        <w:jc w:val="left"/>
      </w:pPr>
      <w:r>
        <w:rPr>
          <w:color w:val="000000"/>
          <w:sz w:val="24"/>
          <w:szCs w:val="24"/>
        </w:rPr>
        <w:t xml:space="preserve">A double flash illúzió megjelenését különböző mértékben, de minden kondícióban tapasztaltuk. A periférián bemutatott stimulusok detektálása az irodalomban leírtakkal ellentétben, jobb volt. Ez a különbség az általunk használt nagyméretű stimulus jó detektálhatóságából fakadhat, szemben az irodalomban jellemzően használt, kis méretű, kevésbé jól detektálható stimulusokkal. Centrális stimulus esetén az érzékenység alacsonyabb volt. Legalacsonyabb érzékenységet az izolumináns centrális stimulus bemutatása esetén tapasztaltunk, ahol így igen erős, korábban nem tapasztalt fúziós jelenség mutatkozott.</w:t>
      </w:r>
    </w:p>
    <w:p>
      <w:pPr>
        <w:pBdr/>
        <w:spacing w:before="240" w:after="240" w:line="240" w:lineRule="auto"/>
        <w:ind w:left="0" w:right="0"/>
        <w:jc w:val="left"/>
      </w:pPr>
      <w:r>
        <w:rPr>
          <w:color w:val="000000"/>
          <w:sz w:val="24"/>
          <w:szCs w:val="24"/>
        </w:rPr>
        <w:t xml:space="preserve">Kísérleti eredményeink alapján feltételezhető, hogy a vizsgált illúziók kialakításában eltérő módon, jellemző működéseiknek megfelelően, mindkét vizuális pálya részt vesz.</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35670">
    <w:multiLevelType w:val="hybridMultilevel"/>
    <w:lvl w:ilvl="0" w:tplc="49727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35670">
    <w:abstractNumId w:val="417356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5289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